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eastAsia="方正小标宋简体"/>
          <w:color w:val="000000"/>
          <w:sz w:val="44"/>
          <w:szCs w:val="44"/>
          <w:u w:val="none"/>
          <w:lang w:eastAsia="zh-CN"/>
        </w:rPr>
      </w:pPr>
      <w:r>
        <w:rPr>
          <w:rFonts w:hint="eastAsia" w:ascii="方正小标宋简体" w:eastAsia="方正小标宋简体"/>
          <w:color w:val="000000"/>
          <w:sz w:val="44"/>
          <w:szCs w:val="44"/>
          <w:u w:val="none"/>
          <w:lang w:eastAsia="zh-CN"/>
        </w:rPr>
        <w:t>北京市工艺美术高级技工学校</w:t>
      </w:r>
    </w:p>
    <w:p>
      <w:pPr>
        <w:spacing w:line="560" w:lineRule="exact"/>
        <w:jc w:val="center"/>
        <w:rPr>
          <w:rFonts w:hint="eastAsia" w:ascii="方正小标宋简体" w:eastAsia="方正小标宋简体"/>
          <w:color w:val="000000"/>
          <w:sz w:val="44"/>
          <w:szCs w:val="44"/>
          <w:u w:val="none"/>
        </w:rPr>
      </w:pPr>
      <w:r>
        <w:rPr>
          <w:rFonts w:hint="eastAsia" w:ascii="方正小标宋简体" w:eastAsia="方正小标宋简体"/>
          <w:color w:val="000000"/>
          <w:sz w:val="44"/>
          <w:szCs w:val="44"/>
          <w:u w:val="none"/>
          <w:lang w:eastAsia="zh-CN"/>
        </w:rPr>
        <w:t>2024年度单位</w:t>
      </w:r>
      <w:r>
        <w:rPr>
          <w:rFonts w:hint="eastAsia" w:ascii="方正小标宋简体" w:eastAsia="方正小标宋简体"/>
          <w:color w:val="000000"/>
          <w:sz w:val="44"/>
          <w:szCs w:val="44"/>
          <w:u w:val="none"/>
        </w:rPr>
        <w:t>预算信息公开</w:t>
      </w:r>
    </w:p>
    <w:p>
      <w:pPr>
        <w:spacing w:line="240" w:lineRule="exact"/>
        <w:jc w:val="center"/>
        <w:rPr>
          <w:rFonts w:hint="eastAsia" w:ascii="方正小标宋简体" w:eastAsia="方正小标宋简体"/>
          <w:color w:val="000000"/>
          <w:sz w:val="32"/>
          <w:szCs w:val="32"/>
          <w:u w:val="none"/>
        </w:rPr>
      </w:pPr>
    </w:p>
    <w:p>
      <w:pPr>
        <w:spacing w:line="560" w:lineRule="exact"/>
        <w:jc w:val="center"/>
        <w:rPr>
          <w:rFonts w:hint="eastAsia" w:ascii="方正小标宋简体" w:eastAsia="方正小标宋简体"/>
          <w:color w:val="000000"/>
          <w:sz w:val="32"/>
          <w:szCs w:val="32"/>
          <w:u w:val="none"/>
        </w:rPr>
      </w:pPr>
      <w:r>
        <w:rPr>
          <w:rFonts w:hint="eastAsia" w:ascii="方正小标宋简体" w:eastAsia="方正小标宋简体"/>
          <w:color w:val="000000"/>
          <w:sz w:val="32"/>
          <w:szCs w:val="32"/>
          <w:u w:val="none"/>
        </w:rPr>
        <w:t>目   录</w:t>
      </w:r>
    </w:p>
    <w:p>
      <w:pPr>
        <w:spacing w:line="560" w:lineRule="exact"/>
        <w:rPr>
          <w:rFonts w:hint="eastAsia" w:ascii="黑体" w:hAnsi="黑体" w:eastAsia="黑体" w:cs="黑体"/>
          <w:color w:val="000000"/>
          <w:sz w:val="32"/>
          <w:szCs w:val="32"/>
          <w:u w:val="none"/>
        </w:rPr>
      </w:pPr>
      <w:r>
        <w:rPr>
          <w:rFonts w:hint="eastAsia" w:ascii="黑体" w:hAnsi="黑体" w:eastAsia="黑体" w:cs="黑体"/>
          <w:color w:val="000000"/>
          <w:sz w:val="32"/>
          <w:szCs w:val="32"/>
          <w:u w:val="none"/>
        </w:rPr>
        <w:t xml:space="preserve">第一部分 </w:t>
      </w:r>
      <w:r>
        <w:rPr>
          <w:rFonts w:hint="eastAsia" w:ascii="黑体" w:hAnsi="黑体" w:eastAsia="黑体" w:cs="黑体"/>
          <w:color w:val="000000"/>
          <w:sz w:val="32"/>
          <w:szCs w:val="32"/>
          <w:u w:val="none"/>
          <w:lang w:eastAsia="zh-CN"/>
        </w:rPr>
        <w:t>2024年</w:t>
      </w:r>
      <w:r>
        <w:rPr>
          <w:rFonts w:hint="eastAsia" w:ascii="黑体" w:hAnsi="黑体" w:eastAsia="黑体" w:cs="黑体"/>
          <w:color w:val="000000"/>
          <w:sz w:val="32"/>
          <w:szCs w:val="32"/>
          <w:u w:val="none"/>
        </w:rPr>
        <w:t>度单位预算情况说明</w:t>
      </w:r>
    </w:p>
    <w:p>
      <w:pPr>
        <w:spacing w:line="560" w:lineRule="exact"/>
        <w:ind w:firstLine="640" w:firstLineChars="200"/>
        <w:rPr>
          <w:rFonts w:hint="eastAsia" w:ascii="仿宋_GB2312" w:hAnsi="仿宋_GB2312" w:eastAsia="仿宋_GB2312" w:cs="仿宋_GB2312"/>
          <w:color w:val="000000"/>
          <w:sz w:val="32"/>
          <w:szCs w:val="32"/>
          <w:u w:val="none"/>
          <w:lang w:val="en"/>
        </w:rPr>
      </w:pPr>
      <w:r>
        <w:rPr>
          <w:rFonts w:hint="eastAsia" w:ascii="仿宋_GB2312" w:hAnsi="仿宋_GB2312" w:eastAsia="仿宋_GB2312" w:cs="仿宋_GB2312"/>
          <w:color w:val="000000"/>
          <w:sz w:val="32"/>
          <w:szCs w:val="32"/>
          <w:u w:val="none"/>
        </w:rPr>
        <w:t>一、单位情况</w:t>
      </w:r>
      <w:r>
        <w:rPr>
          <w:rFonts w:hint="eastAsia" w:ascii="仿宋_GB2312" w:hAnsi="仿宋_GB2312" w:eastAsia="仿宋_GB2312" w:cs="仿宋_GB2312"/>
          <w:color w:val="000000"/>
          <w:sz w:val="32"/>
          <w:szCs w:val="32"/>
          <w:u w:val="none"/>
          <w:lang w:eastAsia="zh-CN"/>
        </w:rPr>
        <w:t>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二、收入</w:t>
      </w:r>
      <w:r>
        <w:rPr>
          <w:rFonts w:hint="eastAsia" w:ascii="仿宋_GB2312" w:hAnsi="仿宋_GB2312" w:eastAsia="仿宋_GB2312" w:cs="仿宋_GB2312"/>
          <w:color w:val="000000"/>
          <w:sz w:val="32"/>
          <w:szCs w:val="32"/>
          <w:u w:val="none"/>
          <w:lang w:eastAsia="zh-CN"/>
        </w:rPr>
        <w:t>预算</w:t>
      </w:r>
      <w:r>
        <w:rPr>
          <w:rFonts w:hint="eastAsia" w:ascii="仿宋_GB2312" w:hAnsi="仿宋_GB2312" w:eastAsia="仿宋_GB2312" w:cs="仿宋_GB2312"/>
          <w:color w:val="000000"/>
          <w:sz w:val="32"/>
          <w:szCs w:val="32"/>
          <w:u w:val="none"/>
        </w:rPr>
        <w:t>情况</w:t>
      </w:r>
      <w:r>
        <w:rPr>
          <w:rFonts w:hint="eastAsia" w:ascii="仿宋_GB2312" w:hAnsi="仿宋_GB2312" w:eastAsia="仿宋_GB2312" w:cs="仿宋_GB2312"/>
          <w:color w:val="000000"/>
          <w:sz w:val="32"/>
          <w:szCs w:val="32"/>
          <w:u w:val="none"/>
          <w:lang w:eastAsia="zh-CN"/>
        </w:rPr>
        <w:t>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三、支出</w:t>
      </w:r>
      <w:r>
        <w:rPr>
          <w:rFonts w:hint="eastAsia" w:ascii="仿宋_GB2312" w:hAnsi="仿宋_GB2312" w:eastAsia="仿宋_GB2312" w:cs="仿宋_GB2312"/>
          <w:color w:val="000000"/>
          <w:sz w:val="32"/>
          <w:szCs w:val="32"/>
          <w:u w:val="none"/>
          <w:lang w:eastAsia="zh-CN"/>
        </w:rPr>
        <w:t>预算</w:t>
      </w:r>
      <w:r>
        <w:rPr>
          <w:rFonts w:hint="eastAsia" w:ascii="仿宋_GB2312" w:hAnsi="仿宋_GB2312" w:eastAsia="仿宋_GB2312" w:cs="仿宋_GB2312"/>
          <w:color w:val="000000"/>
          <w:sz w:val="32"/>
          <w:szCs w:val="32"/>
          <w:u w:val="none"/>
        </w:rPr>
        <w:t>情况</w:t>
      </w:r>
      <w:r>
        <w:rPr>
          <w:rFonts w:hint="eastAsia" w:ascii="仿宋_GB2312" w:hAnsi="仿宋_GB2312" w:eastAsia="仿宋_GB2312" w:cs="仿宋_GB2312"/>
          <w:color w:val="000000"/>
          <w:sz w:val="32"/>
          <w:szCs w:val="32"/>
          <w:u w:val="none"/>
          <w:lang w:eastAsia="zh-CN"/>
        </w:rPr>
        <w:t>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四、财政拨款“三公”经费预算</w:t>
      </w:r>
      <w:r>
        <w:rPr>
          <w:rFonts w:hint="eastAsia" w:ascii="仿宋_GB2312" w:hAnsi="仿宋_GB2312" w:eastAsia="仿宋_GB2312" w:cs="仿宋_GB2312"/>
          <w:color w:val="000000"/>
          <w:sz w:val="32"/>
          <w:szCs w:val="32"/>
          <w:u w:val="none"/>
          <w:lang w:eastAsia="zh-CN"/>
        </w:rPr>
        <w:t>情况</w:t>
      </w:r>
      <w:r>
        <w:rPr>
          <w:rFonts w:hint="eastAsia" w:ascii="仿宋_GB2312" w:hAnsi="仿宋_GB2312" w:eastAsia="仿宋_GB2312" w:cs="仿宋_GB2312"/>
          <w:color w:val="000000"/>
          <w:sz w:val="32"/>
          <w:szCs w:val="32"/>
          <w:u w:val="none"/>
        </w:rPr>
        <w:t>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五、其他情况说明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六、名词解释</w:t>
      </w:r>
    </w:p>
    <w:p>
      <w:pPr>
        <w:spacing w:line="560" w:lineRule="exact"/>
        <w:rPr>
          <w:rFonts w:hint="eastAsia" w:ascii="黑体" w:hAnsi="黑体" w:eastAsia="黑体" w:cs="黑体"/>
          <w:color w:val="000000"/>
          <w:sz w:val="32"/>
          <w:szCs w:val="32"/>
          <w:u w:val="none"/>
        </w:rPr>
      </w:pPr>
      <w:r>
        <w:rPr>
          <w:rFonts w:hint="eastAsia" w:ascii="黑体" w:hAnsi="黑体" w:eastAsia="黑体" w:cs="黑体"/>
          <w:color w:val="000000"/>
          <w:sz w:val="32"/>
          <w:szCs w:val="32"/>
          <w:u w:val="none"/>
        </w:rPr>
        <w:t xml:space="preserve">第二部分 </w:t>
      </w:r>
      <w:r>
        <w:rPr>
          <w:rFonts w:hint="eastAsia" w:ascii="黑体" w:hAnsi="黑体" w:eastAsia="黑体" w:cs="黑体"/>
          <w:color w:val="000000"/>
          <w:sz w:val="32"/>
          <w:szCs w:val="32"/>
          <w:u w:val="none"/>
          <w:lang w:eastAsia="zh-CN"/>
        </w:rPr>
        <w:t>2024年</w:t>
      </w:r>
      <w:r>
        <w:rPr>
          <w:rFonts w:hint="eastAsia" w:ascii="黑体" w:hAnsi="黑体" w:eastAsia="黑体" w:cs="黑体"/>
          <w:color w:val="000000"/>
          <w:sz w:val="32"/>
          <w:szCs w:val="32"/>
          <w:u w:val="none"/>
        </w:rPr>
        <w:t>度单位预算报表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一、收支总表</w:t>
      </w:r>
    </w:p>
    <w:p>
      <w:pPr>
        <w:autoSpaceDE w:val="0"/>
        <w:autoSpaceDN w:val="0"/>
        <w:adjustRightInd w:val="0"/>
        <w:spacing w:line="560" w:lineRule="exact"/>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 xml:space="preserve">    二、收入总表    </w:t>
      </w:r>
    </w:p>
    <w:p>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三、支出总表</w:t>
      </w:r>
    </w:p>
    <w:p>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四、项目支出表</w:t>
      </w:r>
    </w:p>
    <w:p>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五、政府采购预算明细表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六、财政拨款收支总表</w:t>
      </w:r>
    </w:p>
    <w:p>
      <w:pPr>
        <w:autoSpaceDE w:val="0"/>
        <w:autoSpaceDN w:val="0"/>
        <w:adjustRightInd w:val="0"/>
        <w:spacing w:line="560" w:lineRule="exact"/>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 xml:space="preserve">    七、一般公共预算财政拨款支出表</w:t>
      </w:r>
    </w:p>
    <w:p>
      <w:pPr>
        <w:autoSpaceDE w:val="0"/>
        <w:autoSpaceDN w:val="0"/>
        <w:adjustRightInd w:val="0"/>
        <w:spacing w:line="560" w:lineRule="exact"/>
        <w:jc w:val="left"/>
        <w:rPr>
          <w:rFonts w:hint="eastAsia" w:ascii="仿宋_GB2312" w:hAnsi="仿宋_GB2312" w:eastAsia="仿宋_GB2312" w:cs="仿宋_GB2312"/>
          <w:color w:val="000000"/>
          <w:spacing w:val="-16"/>
          <w:kern w:val="0"/>
          <w:sz w:val="32"/>
          <w:szCs w:val="32"/>
          <w:u w:val="none"/>
          <w:lang w:val="zh-CN"/>
        </w:rPr>
      </w:pPr>
      <w:r>
        <w:rPr>
          <w:rFonts w:hint="eastAsia" w:ascii="仿宋_GB2312" w:hAnsi="仿宋_GB2312" w:eastAsia="仿宋_GB2312" w:cs="仿宋_GB2312"/>
          <w:color w:val="000000"/>
          <w:kern w:val="0"/>
          <w:sz w:val="32"/>
          <w:szCs w:val="32"/>
          <w:u w:val="none"/>
          <w:lang w:val="zh-CN"/>
        </w:rPr>
        <w:t xml:space="preserve">    </w:t>
      </w:r>
      <w:r>
        <w:rPr>
          <w:rFonts w:hint="eastAsia" w:ascii="仿宋_GB2312" w:hAnsi="仿宋_GB2312" w:eastAsia="仿宋_GB2312" w:cs="仿宋_GB2312"/>
          <w:color w:val="000000"/>
          <w:spacing w:val="-16"/>
          <w:kern w:val="0"/>
          <w:sz w:val="32"/>
          <w:szCs w:val="32"/>
          <w:u w:val="none"/>
          <w:lang w:val="zh-CN"/>
        </w:rPr>
        <w:t>八、一般公共预算财政拨款基本支出表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九、政府性基金预算财政拨款支出表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spacing w:val="-16"/>
          <w:kern w:val="0"/>
          <w:sz w:val="32"/>
          <w:szCs w:val="32"/>
          <w:u w:val="none"/>
          <w:lang w:val="zh-CN"/>
        </w:rPr>
      </w:pPr>
      <w:r>
        <w:rPr>
          <w:rFonts w:hint="eastAsia" w:ascii="仿宋_GB2312" w:hAnsi="仿宋_GB2312" w:eastAsia="仿宋_GB2312" w:cs="仿宋_GB2312"/>
          <w:color w:val="000000"/>
          <w:kern w:val="0"/>
          <w:sz w:val="32"/>
          <w:szCs w:val="32"/>
          <w:u w:val="none"/>
          <w:lang w:val="zh-CN"/>
        </w:rPr>
        <w:t>十、国有资本经营预算财政拨款支出表</w:t>
      </w:r>
    </w:p>
    <w:p>
      <w:pPr>
        <w:autoSpaceDE w:val="0"/>
        <w:autoSpaceDN w:val="0"/>
        <w:adjustRightInd w:val="0"/>
        <w:spacing w:line="560" w:lineRule="exact"/>
        <w:ind w:firstLine="576"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spacing w:val="-16"/>
          <w:kern w:val="0"/>
          <w:sz w:val="32"/>
          <w:szCs w:val="32"/>
          <w:u w:val="none"/>
          <w:lang w:val="zh-CN"/>
        </w:rPr>
        <w:t>十一、财政拨款</w:t>
      </w:r>
      <w:r>
        <w:rPr>
          <w:rFonts w:hint="eastAsia" w:ascii="仿宋_GB2312" w:hAnsi="仿宋_GB2312" w:eastAsia="仿宋_GB2312" w:cs="仿宋_GB2312"/>
          <w:color w:val="000000"/>
          <w:kern w:val="0"/>
          <w:sz w:val="32"/>
          <w:szCs w:val="32"/>
          <w:u w:val="none"/>
          <w:lang w:val="zh-CN"/>
        </w:rPr>
        <w:t>“三公”经费支出表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spacing w:val="0"/>
          <w:kern w:val="0"/>
          <w:sz w:val="32"/>
          <w:szCs w:val="32"/>
          <w:u w:val="none"/>
          <w:lang w:val="zh-CN"/>
        </w:rPr>
      </w:pPr>
      <w:r>
        <w:rPr>
          <w:rFonts w:hint="eastAsia" w:ascii="仿宋_GB2312" w:hAnsi="仿宋_GB2312" w:eastAsia="仿宋_GB2312" w:cs="仿宋_GB2312"/>
          <w:color w:val="000000"/>
          <w:spacing w:val="-18"/>
          <w:kern w:val="0"/>
          <w:sz w:val="32"/>
          <w:szCs w:val="32"/>
          <w:u w:val="none"/>
          <w:lang w:val="zh-CN"/>
        </w:rPr>
        <w:t>十</w:t>
      </w:r>
      <w:r>
        <w:rPr>
          <w:rFonts w:hint="eastAsia" w:ascii="仿宋_GB2312" w:hAnsi="仿宋_GB2312" w:eastAsia="仿宋_GB2312" w:cs="仿宋_GB2312"/>
          <w:color w:val="000000"/>
          <w:spacing w:val="0"/>
          <w:kern w:val="0"/>
          <w:sz w:val="32"/>
          <w:szCs w:val="32"/>
          <w:u w:val="none"/>
          <w:lang w:val="zh-CN"/>
        </w:rPr>
        <w:t>二、政府购买服务预算财政拨款明细表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十三、项目支出绩效目标表</w:t>
      </w:r>
    </w:p>
    <w:p>
      <w:pPr>
        <w:spacing w:line="560" w:lineRule="exact"/>
        <w:jc w:val="center"/>
        <w:rPr>
          <w:rFonts w:hint="eastAsia" w:ascii="仿宋_GB2312" w:hAnsi="仿宋_GB2312" w:eastAsia="仿宋_GB2312" w:cs="仿宋_GB2312"/>
          <w:color w:val="000000"/>
          <w:sz w:val="36"/>
          <w:szCs w:val="36"/>
          <w:u w:val="none"/>
        </w:rPr>
      </w:pPr>
      <w:r>
        <w:rPr>
          <w:rFonts w:hint="eastAsia" w:ascii="仿宋_GB2312" w:hAnsi="仿宋_GB2312" w:eastAsia="仿宋_GB2312" w:cs="仿宋_GB2312"/>
          <w:color w:val="000000"/>
          <w:kern w:val="0"/>
          <w:sz w:val="32"/>
          <w:szCs w:val="32"/>
          <w:u w:val="none"/>
          <w:lang w:val="en-US" w:eastAsia="zh-CN"/>
        </w:rPr>
        <w:t xml:space="preserve"> </w:t>
      </w:r>
    </w:p>
    <w:p>
      <w:pPr>
        <w:spacing w:line="560" w:lineRule="exact"/>
        <w:jc w:val="center"/>
        <w:rPr>
          <w:rFonts w:hint="eastAsia" w:ascii="仿宋_GB2312" w:hAnsi="仿宋_GB2312" w:eastAsia="仿宋_GB2312" w:cs="仿宋_GB2312"/>
          <w:color w:val="000000"/>
          <w:sz w:val="36"/>
          <w:szCs w:val="36"/>
          <w:u w:val="none"/>
        </w:rPr>
      </w:pPr>
    </w:p>
    <w:p>
      <w:pPr>
        <w:spacing w:line="560" w:lineRule="exact"/>
        <w:jc w:val="center"/>
        <w:rPr>
          <w:rFonts w:hint="eastAsia" w:ascii="仿宋_GB2312" w:hAnsi="仿宋_GB2312" w:eastAsia="仿宋_GB2312" w:cs="仿宋_GB2312"/>
          <w:color w:val="000000"/>
          <w:sz w:val="36"/>
          <w:szCs w:val="36"/>
          <w:u w:val="none"/>
        </w:rPr>
      </w:pPr>
    </w:p>
    <w:p>
      <w:pPr>
        <w:spacing w:line="560" w:lineRule="exact"/>
        <w:jc w:val="center"/>
        <w:rPr>
          <w:rFonts w:hint="eastAsia" w:ascii="仿宋_GB2312" w:hAnsi="仿宋_GB2312" w:eastAsia="仿宋_GB2312" w:cs="仿宋_GB2312"/>
          <w:color w:val="000000"/>
          <w:sz w:val="36"/>
          <w:szCs w:val="36"/>
          <w:u w:val="none"/>
        </w:rPr>
      </w:pPr>
    </w:p>
    <w:p>
      <w:pPr>
        <w:spacing w:line="560" w:lineRule="exact"/>
        <w:jc w:val="center"/>
        <w:rPr>
          <w:rFonts w:hint="eastAsia" w:ascii="仿宋_GB2312" w:hAnsi="仿宋_GB2312" w:eastAsia="仿宋_GB2312" w:cs="仿宋_GB2312"/>
          <w:color w:val="000000"/>
          <w:sz w:val="36"/>
          <w:szCs w:val="36"/>
          <w:u w:val="none"/>
        </w:rPr>
      </w:pPr>
    </w:p>
    <w:p>
      <w:pPr>
        <w:spacing w:line="560" w:lineRule="exact"/>
        <w:jc w:val="center"/>
        <w:rPr>
          <w:rFonts w:hint="eastAsia" w:ascii="仿宋_GB2312" w:hAnsi="仿宋_GB2312" w:eastAsia="仿宋_GB2312" w:cs="仿宋_GB2312"/>
          <w:color w:val="000000"/>
          <w:sz w:val="36"/>
          <w:szCs w:val="36"/>
          <w:u w:val="none"/>
        </w:rPr>
      </w:pPr>
    </w:p>
    <w:p>
      <w:pPr>
        <w:spacing w:line="560" w:lineRule="exact"/>
        <w:jc w:val="center"/>
        <w:rPr>
          <w:rFonts w:hint="eastAsia" w:ascii="仿宋_GB2312" w:hAnsi="仿宋_GB2312" w:eastAsia="仿宋_GB2312" w:cs="仿宋_GB2312"/>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pStyle w:val="2"/>
        <w:rPr>
          <w:rFonts w:hint="eastAsia" w:ascii="方正小标宋简体" w:eastAsia="方正小标宋简体"/>
          <w:color w:val="000000"/>
          <w:sz w:val="36"/>
          <w:szCs w:val="36"/>
          <w:u w:val="none"/>
        </w:rPr>
      </w:pPr>
    </w:p>
    <w:p>
      <w:pPr>
        <w:rPr>
          <w:rFonts w:hint="eastAsia" w:ascii="方正小标宋简体" w:eastAsia="方正小标宋简体"/>
          <w:color w:val="000000"/>
          <w:sz w:val="36"/>
          <w:szCs w:val="36"/>
          <w:u w:val="none"/>
        </w:rPr>
      </w:pPr>
    </w:p>
    <w:p>
      <w:pPr>
        <w:pStyle w:val="2"/>
        <w:rPr>
          <w:rFonts w:hint="eastAsia"/>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r>
        <w:rPr>
          <w:rFonts w:hint="eastAsia" w:ascii="方正小标宋简体" w:eastAsia="方正小标宋简体"/>
          <w:color w:val="000000"/>
          <w:sz w:val="36"/>
          <w:szCs w:val="36"/>
          <w:u w:val="none"/>
        </w:rPr>
        <w:t xml:space="preserve">第一部分  </w:t>
      </w:r>
      <w:r>
        <w:rPr>
          <w:rFonts w:hint="eastAsia" w:ascii="方正小标宋简体" w:eastAsia="方正小标宋简体"/>
          <w:color w:val="000000"/>
          <w:sz w:val="36"/>
          <w:szCs w:val="36"/>
          <w:u w:val="none"/>
          <w:lang w:eastAsia="zh-CN"/>
        </w:rPr>
        <w:t>2024年度</w:t>
      </w:r>
      <w:r>
        <w:rPr>
          <w:rFonts w:hint="eastAsia" w:ascii="方正小标宋简体" w:eastAsia="方正小标宋简体"/>
          <w:color w:val="000000"/>
          <w:sz w:val="36"/>
          <w:szCs w:val="36"/>
          <w:u w:val="none"/>
        </w:rPr>
        <w:t>单位预算情况说明</w:t>
      </w:r>
    </w:p>
    <w:p>
      <w:pPr>
        <w:spacing w:line="560" w:lineRule="exact"/>
        <w:jc w:val="both"/>
        <w:rPr>
          <w:rFonts w:hint="eastAsia" w:ascii="黑体" w:eastAsia="黑体"/>
          <w:color w:val="000000"/>
          <w:sz w:val="32"/>
          <w:szCs w:val="32"/>
          <w:u w:val="none"/>
          <w:lang w:eastAsia="zh-CN"/>
        </w:rPr>
      </w:pPr>
      <w:r>
        <w:rPr>
          <w:rFonts w:hint="eastAsia" w:ascii="方正小标宋简体" w:eastAsia="方正小标宋简体"/>
          <w:color w:val="000000"/>
          <w:sz w:val="36"/>
          <w:szCs w:val="36"/>
          <w:u w:val="none"/>
          <w:lang w:val="en-US" w:eastAsia="zh-CN"/>
        </w:rPr>
        <w:t xml:space="preserve">   </w:t>
      </w:r>
      <w:r>
        <w:rPr>
          <w:rFonts w:hint="eastAsia" w:ascii="黑体" w:eastAsia="黑体"/>
          <w:color w:val="000000"/>
          <w:sz w:val="32"/>
          <w:szCs w:val="32"/>
          <w:u w:val="none"/>
        </w:rPr>
        <w:t>一、单位情况</w:t>
      </w:r>
      <w:r>
        <w:rPr>
          <w:rFonts w:hint="eastAsia" w:ascii="黑体" w:eastAsia="黑体"/>
          <w:color w:val="000000"/>
          <w:sz w:val="32"/>
          <w:szCs w:val="32"/>
          <w:u w:val="none"/>
          <w:lang w:eastAsia="zh-CN"/>
        </w:rPr>
        <w:t>说明</w:t>
      </w:r>
    </w:p>
    <w:p>
      <w:pPr>
        <w:spacing w:line="560" w:lineRule="exact"/>
        <w:rPr>
          <w:rFonts w:hint="eastAsia" w:ascii="楷体_GB2312" w:eastAsia="楷体_GB2312"/>
          <w:color w:val="000000"/>
          <w:sz w:val="32"/>
          <w:szCs w:val="32"/>
          <w:u w:val="none"/>
        </w:rPr>
      </w:pPr>
      <w:r>
        <w:rPr>
          <w:rFonts w:hint="eastAsia" w:ascii="楷体_GB2312" w:eastAsia="楷体_GB2312"/>
          <w:color w:val="000000"/>
          <w:sz w:val="32"/>
          <w:szCs w:val="32"/>
          <w:u w:val="none"/>
          <w:lang w:val="en-US" w:eastAsia="zh-CN"/>
        </w:rPr>
        <w:t xml:space="preserve">  </w:t>
      </w:r>
      <w:r>
        <w:rPr>
          <w:rFonts w:hint="eastAsia" w:ascii="楷体_GB2312" w:eastAsia="楷体_GB2312"/>
          <w:color w:val="000000"/>
          <w:sz w:val="32"/>
          <w:szCs w:val="32"/>
          <w:u w:val="none"/>
        </w:rPr>
        <w:t>（一）本单位性质、职责等情况</w:t>
      </w:r>
    </w:p>
    <w:p>
      <w:pPr>
        <w:spacing w:line="560" w:lineRule="exact"/>
        <w:rPr>
          <w:rFonts w:hint="eastAsia" w:ascii="仿宋_GB2312" w:eastAsia="仿宋_GB2312"/>
          <w:color w:val="000000"/>
          <w:sz w:val="32"/>
          <w:szCs w:val="32"/>
        </w:rPr>
      </w:pPr>
      <w:r>
        <w:rPr>
          <w:rFonts w:hint="eastAsia" w:ascii="仿宋_GB2312" w:eastAsia="仿宋_GB2312"/>
          <w:color w:val="000000"/>
          <w:sz w:val="32"/>
          <w:szCs w:val="32"/>
          <w:lang w:val="en-US" w:eastAsia="zh-CN"/>
        </w:rPr>
        <w:t xml:space="preserve">    </w:t>
      </w:r>
      <w:r>
        <w:rPr>
          <w:rFonts w:hint="eastAsia" w:ascii="仿宋_GB2312" w:eastAsia="仿宋_GB2312"/>
          <w:color w:val="000000"/>
          <w:sz w:val="32"/>
          <w:szCs w:val="32"/>
        </w:rPr>
        <w:t>北京市工艺美术高级技工学校</w:t>
      </w:r>
      <w:r>
        <w:rPr>
          <w:rFonts w:hint="eastAsia" w:ascii="仿宋_GB2312" w:eastAsia="仿宋_GB2312"/>
          <w:sz w:val="32"/>
          <w:szCs w:val="32"/>
        </w:rPr>
        <w:t>隶属于北京时尚控股有限责任公司。</w:t>
      </w:r>
      <w:r>
        <w:rPr>
          <w:rFonts w:hint="eastAsia" w:ascii="仿宋_GB2312" w:eastAsia="仿宋_GB2312"/>
          <w:color w:val="000000"/>
          <w:sz w:val="32"/>
          <w:szCs w:val="32"/>
        </w:rPr>
        <w:t>根据北京市机构编制委员会办公室《关于明确北京市工艺美术技工学校为事业单位的批复》（京编事字【1994】212号），批准北京市工艺美术技工学校为</w:t>
      </w:r>
      <w:r>
        <w:rPr>
          <w:rFonts w:hint="eastAsia" w:ascii="仿宋_GB2312" w:eastAsia="仿宋_GB2312"/>
          <w:color w:val="000000"/>
          <w:sz w:val="32"/>
          <w:szCs w:val="32"/>
          <w:lang w:eastAsia="zh-CN"/>
        </w:rPr>
        <w:t>公益二类</w:t>
      </w:r>
      <w:r>
        <w:rPr>
          <w:rFonts w:hint="eastAsia" w:ascii="仿宋_GB2312" w:eastAsia="仿宋_GB2312"/>
          <w:color w:val="000000"/>
          <w:sz w:val="32"/>
          <w:szCs w:val="32"/>
        </w:rPr>
        <w:t>财政</w:t>
      </w:r>
      <w:r>
        <w:rPr>
          <w:rFonts w:hint="eastAsia" w:ascii="仿宋_GB2312" w:eastAsia="仿宋_GB2312"/>
          <w:color w:val="000000"/>
          <w:sz w:val="32"/>
          <w:szCs w:val="32"/>
          <w:lang w:eastAsia="zh-CN"/>
        </w:rPr>
        <w:t>补助</w:t>
      </w:r>
      <w:r>
        <w:rPr>
          <w:rFonts w:hint="eastAsia" w:ascii="仿宋_GB2312" w:eastAsia="仿宋_GB2312"/>
          <w:color w:val="000000"/>
          <w:sz w:val="32"/>
          <w:szCs w:val="32"/>
        </w:rPr>
        <w:t>事业单位，2009年9月更名为北京市工艺美术高级技工学校。</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北京市工艺美术高级技工学校是北京唯一的一所培养工艺美术专业技能人才的中等职业学校，主要职责是为北京市培养符合社会需求的合格的中、高级及以上工艺美术技能人才，开展工艺美术及设计相关专业初、高中毕业生技工教育，从事工艺美术行业在职人员技能等级培训及认定，工艺美术行业就业咨询，对社会人员进行工艺美术设计制作、珠宝设计制作、珠宝鉴定营销、媒体艺术设计、幼儿美术教育等技能培训。</w:t>
      </w:r>
    </w:p>
    <w:p>
      <w:pPr>
        <w:numPr>
          <w:ilvl w:val="0"/>
          <w:numId w:val="0"/>
        </w:numPr>
        <w:spacing w:line="560" w:lineRule="exact"/>
        <w:rPr>
          <w:rFonts w:hint="eastAsia" w:ascii="楷体_GB2312" w:eastAsia="楷体_GB2312"/>
          <w:color w:val="000000"/>
          <w:sz w:val="32"/>
          <w:szCs w:val="32"/>
          <w:u w:val="none"/>
        </w:rPr>
      </w:pPr>
      <w:r>
        <w:rPr>
          <w:rFonts w:hint="eastAsia" w:ascii="楷体_GB2312" w:eastAsia="楷体_GB2312"/>
          <w:color w:val="000000"/>
          <w:sz w:val="32"/>
          <w:szCs w:val="32"/>
          <w:u w:val="none"/>
          <w:lang w:val="en-US" w:eastAsia="zh-CN"/>
        </w:rPr>
        <w:t xml:space="preserve">   （二）</w:t>
      </w:r>
      <w:r>
        <w:rPr>
          <w:rFonts w:hint="eastAsia" w:ascii="楷体_GB2312" w:eastAsia="楷体_GB2312"/>
          <w:color w:val="000000"/>
          <w:sz w:val="32"/>
          <w:szCs w:val="32"/>
          <w:u w:val="none"/>
        </w:rPr>
        <w:t>机构设置情况</w:t>
      </w:r>
    </w:p>
    <w:p>
      <w:pPr>
        <w:numPr>
          <w:ilvl w:val="0"/>
          <w:numId w:val="0"/>
        </w:numPr>
        <w:spacing w:line="560" w:lineRule="exact"/>
        <w:rPr>
          <w:rFonts w:hint="eastAsia" w:ascii="仿宋_GB2312" w:eastAsia="仿宋_GB2312"/>
          <w:color w:val="000000"/>
          <w:sz w:val="32"/>
          <w:szCs w:val="32"/>
        </w:rPr>
      </w:pPr>
      <w:r>
        <w:rPr>
          <w:rFonts w:hint="eastAsia" w:ascii="仿宋_GB2312" w:eastAsia="仿宋_GB2312"/>
          <w:color w:val="000000"/>
          <w:sz w:val="32"/>
          <w:szCs w:val="32"/>
          <w:lang w:val="en-US" w:eastAsia="zh-CN"/>
        </w:rPr>
        <w:t xml:space="preserve">    </w:t>
      </w:r>
      <w:r>
        <w:rPr>
          <w:rFonts w:hint="eastAsia" w:ascii="仿宋_GB2312" w:eastAsia="仿宋_GB2312"/>
          <w:color w:val="000000"/>
          <w:sz w:val="32"/>
          <w:szCs w:val="32"/>
        </w:rPr>
        <w:t>北京市工艺美术高级技工学校内设9个科室。分别是办公室、党务办公室、财务科、总务科、学生科、招生就业办公室、教管中心、培训部、团委。</w:t>
      </w:r>
    </w:p>
    <w:p>
      <w:pPr>
        <w:numPr>
          <w:ilvl w:val="0"/>
          <w:numId w:val="0"/>
        </w:numPr>
        <w:spacing w:line="560" w:lineRule="exact"/>
        <w:rPr>
          <w:rFonts w:hint="eastAsia" w:ascii="楷体_GB2312" w:eastAsia="楷体_GB2312"/>
          <w:color w:val="000000"/>
          <w:sz w:val="32"/>
          <w:szCs w:val="32"/>
          <w:u w:val="none"/>
          <w:lang w:val="en-US" w:eastAsia="zh-CN"/>
        </w:rPr>
      </w:pPr>
      <w:r>
        <w:rPr>
          <w:rFonts w:hint="eastAsia" w:ascii="仿宋_GB2312" w:eastAsia="仿宋_GB2312"/>
          <w:color w:val="000000"/>
          <w:sz w:val="32"/>
          <w:szCs w:val="32"/>
          <w:lang w:val="en-US" w:eastAsia="zh-CN"/>
        </w:rPr>
        <w:t xml:space="preserve">    </w:t>
      </w:r>
      <w:r>
        <w:rPr>
          <w:rFonts w:hint="eastAsia" w:ascii="仿宋_GB2312" w:eastAsia="仿宋_GB2312"/>
          <w:color w:val="000000"/>
          <w:sz w:val="32"/>
          <w:szCs w:val="32"/>
        </w:rPr>
        <w:t>北京市工艺美术高级技工学校包括</w:t>
      </w:r>
      <w:r>
        <w:rPr>
          <w:rFonts w:hint="eastAsia" w:ascii="仿宋_GB2312" w:eastAsia="仿宋_GB2312"/>
          <w:color w:val="000000"/>
          <w:sz w:val="32"/>
          <w:szCs w:val="32"/>
          <w:lang w:eastAsia="zh-CN"/>
        </w:rPr>
        <w:t>下</w:t>
      </w:r>
      <w:r>
        <w:rPr>
          <w:rFonts w:hint="eastAsia" w:ascii="仿宋_GB2312" w:eastAsia="仿宋_GB2312"/>
          <w:color w:val="000000"/>
          <w:sz w:val="32"/>
          <w:szCs w:val="32"/>
        </w:rPr>
        <w:t>属事业单位1家，即北京市工艺美术高级技工学校，属</w:t>
      </w:r>
      <w:r>
        <w:rPr>
          <w:rFonts w:hint="eastAsia" w:ascii="仿宋_GB2312" w:eastAsia="仿宋_GB2312"/>
          <w:color w:val="000000"/>
          <w:sz w:val="32"/>
          <w:szCs w:val="32"/>
          <w:lang w:eastAsia="zh-CN"/>
        </w:rPr>
        <w:t>公益二类财政补助</w:t>
      </w:r>
      <w:r>
        <w:rPr>
          <w:rFonts w:hint="eastAsia" w:ascii="仿宋_GB2312" w:eastAsia="仿宋_GB2312"/>
          <w:color w:val="000000"/>
          <w:sz w:val="32"/>
          <w:szCs w:val="32"/>
        </w:rPr>
        <w:t>事业单位。</w:t>
      </w:r>
    </w:p>
    <w:p>
      <w:pPr>
        <w:numPr>
          <w:ilvl w:val="0"/>
          <w:numId w:val="0"/>
        </w:numPr>
        <w:spacing w:line="560" w:lineRule="exact"/>
        <w:rPr>
          <w:rFonts w:hint="eastAsia" w:ascii="楷体_GB2312" w:eastAsia="楷体_GB2312"/>
          <w:color w:val="000000"/>
          <w:sz w:val="32"/>
          <w:szCs w:val="32"/>
          <w:u w:val="none"/>
        </w:rPr>
      </w:pPr>
      <w:r>
        <w:rPr>
          <w:rFonts w:hint="eastAsia" w:ascii="楷体_GB2312" w:eastAsia="楷体_GB2312"/>
          <w:color w:val="000000"/>
          <w:sz w:val="32"/>
          <w:szCs w:val="32"/>
          <w:u w:val="none"/>
          <w:lang w:val="en-US" w:eastAsia="zh-CN"/>
        </w:rPr>
        <w:t xml:space="preserve">    </w:t>
      </w:r>
      <w:r>
        <w:rPr>
          <w:rFonts w:hint="eastAsia" w:ascii="楷体_GB2312" w:eastAsia="楷体_GB2312"/>
          <w:color w:val="000000"/>
          <w:sz w:val="32"/>
          <w:szCs w:val="32"/>
          <w:u w:val="none"/>
        </w:rPr>
        <w:t>（三）人员</w:t>
      </w:r>
      <w:r>
        <w:rPr>
          <w:rFonts w:hint="eastAsia" w:ascii="楷体_GB2312" w:eastAsia="楷体_GB2312"/>
          <w:color w:val="000000"/>
          <w:sz w:val="32"/>
          <w:szCs w:val="32"/>
          <w:u w:val="none"/>
          <w:lang w:eastAsia="zh-CN"/>
        </w:rPr>
        <w:t>编制及实有</w:t>
      </w:r>
      <w:r>
        <w:rPr>
          <w:rFonts w:hint="eastAsia" w:ascii="楷体_GB2312" w:eastAsia="楷体_GB2312"/>
          <w:color w:val="000000"/>
          <w:sz w:val="32"/>
          <w:szCs w:val="32"/>
          <w:u w:val="none"/>
        </w:rPr>
        <w:t>情况</w:t>
      </w:r>
    </w:p>
    <w:p>
      <w:pPr>
        <w:numPr>
          <w:ilvl w:val="0"/>
          <w:numId w:val="0"/>
        </w:numPr>
        <w:spacing w:line="560" w:lineRule="exact"/>
        <w:rPr>
          <w:rFonts w:hint="eastAsia" w:ascii="仿宋_GB2312" w:eastAsia="仿宋_GB2312"/>
          <w:color w:val="000000"/>
          <w:sz w:val="32"/>
          <w:szCs w:val="32"/>
        </w:rPr>
      </w:pPr>
      <w:r>
        <w:rPr>
          <w:rFonts w:hint="eastAsia" w:ascii="仿宋_GB2312" w:eastAsia="仿宋_GB2312"/>
          <w:color w:val="000000"/>
          <w:sz w:val="32"/>
          <w:szCs w:val="32"/>
          <w:lang w:val="en-US" w:eastAsia="zh-CN"/>
        </w:rPr>
        <w:t xml:space="preserve">    </w:t>
      </w:r>
      <w:r>
        <w:rPr>
          <w:rFonts w:hint="eastAsia" w:ascii="仿宋_GB2312" w:eastAsia="仿宋_GB2312"/>
          <w:color w:val="000000"/>
          <w:sz w:val="32"/>
          <w:szCs w:val="32"/>
        </w:rPr>
        <w:t>北京市工艺美术高级技工学校行政编制0人，实际0人；事业编制105人，实际82人；</w:t>
      </w:r>
      <w:r>
        <w:rPr>
          <w:rFonts w:hint="eastAsia" w:ascii="仿宋_GB2312" w:eastAsia="仿宋_GB2312"/>
          <w:color w:val="000000"/>
          <w:sz w:val="32"/>
          <w:szCs w:val="32"/>
          <w:lang w:eastAsia="zh-CN"/>
        </w:rPr>
        <w:t>其他</w:t>
      </w:r>
      <w:r>
        <w:rPr>
          <w:rFonts w:hint="eastAsia" w:ascii="仿宋_GB2312" w:eastAsia="仿宋_GB2312"/>
          <w:color w:val="000000"/>
          <w:sz w:val="32"/>
          <w:szCs w:val="32"/>
        </w:rPr>
        <w:t>人员</w:t>
      </w:r>
      <w:r>
        <w:rPr>
          <w:rFonts w:hint="eastAsia" w:ascii="仿宋_GB2312" w:eastAsia="仿宋_GB2312"/>
          <w:color w:val="000000"/>
          <w:sz w:val="32"/>
          <w:szCs w:val="32"/>
          <w:lang w:val="en-US" w:eastAsia="zh-CN"/>
        </w:rPr>
        <w:t>113人</w:t>
      </w:r>
      <w:r>
        <w:rPr>
          <w:rFonts w:hint="eastAsia" w:ascii="仿宋_GB2312" w:eastAsia="仿宋_GB2312"/>
          <w:color w:val="000000"/>
          <w:sz w:val="32"/>
          <w:szCs w:val="32"/>
        </w:rPr>
        <w:t>（其他聘用人员--临时工58人</w:t>
      </w:r>
      <w:r>
        <w:rPr>
          <w:rFonts w:hint="eastAsia" w:ascii="仿宋_GB2312" w:eastAsia="仿宋_GB2312"/>
          <w:color w:val="000000"/>
          <w:sz w:val="32"/>
          <w:szCs w:val="32"/>
          <w:lang w:eastAsia="zh-CN"/>
        </w:rPr>
        <w:t>，</w:t>
      </w:r>
      <w:r>
        <w:rPr>
          <w:rFonts w:hint="eastAsia" w:ascii="仿宋_GB2312" w:eastAsia="仿宋_GB2312"/>
          <w:color w:val="000000"/>
          <w:sz w:val="32"/>
          <w:szCs w:val="32"/>
        </w:rPr>
        <w:t>离休0人，退休55人）。</w:t>
      </w:r>
    </w:p>
    <w:p>
      <w:pPr>
        <w:spacing w:line="560" w:lineRule="exact"/>
        <w:rPr>
          <w:rFonts w:hint="eastAsia" w:ascii="黑体" w:eastAsia="黑体"/>
          <w:color w:val="000000"/>
          <w:sz w:val="32"/>
          <w:szCs w:val="32"/>
          <w:u w:val="none"/>
          <w:lang w:eastAsia="zh-CN"/>
        </w:rPr>
      </w:pPr>
      <w:r>
        <w:rPr>
          <w:rFonts w:hint="eastAsia" w:ascii="黑体" w:eastAsia="黑体"/>
          <w:color w:val="000000"/>
          <w:sz w:val="32"/>
          <w:szCs w:val="32"/>
          <w:u w:val="none"/>
          <w:lang w:val="en-US" w:eastAsia="zh-CN"/>
        </w:rPr>
        <w:t xml:space="preserve">    </w:t>
      </w:r>
      <w:r>
        <w:rPr>
          <w:rFonts w:hint="eastAsia" w:ascii="黑体" w:eastAsia="黑体"/>
          <w:color w:val="000000"/>
          <w:sz w:val="32"/>
          <w:szCs w:val="32"/>
          <w:u w:val="none"/>
        </w:rPr>
        <w:t>二、收入</w:t>
      </w:r>
      <w:r>
        <w:rPr>
          <w:rFonts w:hint="eastAsia" w:ascii="黑体" w:eastAsia="黑体"/>
          <w:color w:val="000000"/>
          <w:sz w:val="32"/>
          <w:szCs w:val="32"/>
          <w:u w:val="none"/>
          <w:lang w:eastAsia="zh-CN"/>
        </w:rPr>
        <w:t>预算</w:t>
      </w:r>
      <w:r>
        <w:rPr>
          <w:rFonts w:hint="eastAsia" w:ascii="黑体" w:eastAsia="黑体"/>
          <w:color w:val="000000"/>
          <w:sz w:val="32"/>
          <w:szCs w:val="32"/>
          <w:u w:val="none"/>
        </w:rPr>
        <w:t>情况</w:t>
      </w:r>
      <w:r>
        <w:rPr>
          <w:rFonts w:hint="eastAsia" w:ascii="黑体" w:eastAsia="黑体"/>
          <w:color w:val="000000"/>
          <w:sz w:val="32"/>
          <w:szCs w:val="32"/>
          <w:u w:val="none"/>
          <w:lang w:eastAsia="zh-CN"/>
        </w:rPr>
        <w:t>说明</w:t>
      </w:r>
    </w:p>
    <w:p>
      <w:pPr>
        <w:autoSpaceDE w:val="0"/>
        <w:autoSpaceDN w:val="0"/>
        <w:adjustRightInd w:val="0"/>
        <w:ind w:firstLine="640" w:firstLineChars="200"/>
        <w:jc w:val="left"/>
        <w:rPr>
          <w:rFonts w:ascii="仿宋_GB2312" w:eastAsia="仿宋_GB2312" w:cs="仿宋_GB2312"/>
          <w:kern w:val="0"/>
          <w:sz w:val="32"/>
          <w:szCs w:val="32"/>
        </w:rPr>
      </w:pPr>
      <w:r>
        <w:rPr>
          <w:rFonts w:hint="eastAsia" w:ascii="仿宋_GB2312" w:eastAsia="仿宋_GB2312" w:cs="Droid Sans"/>
          <w:color w:val="auto"/>
          <w:sz w:val="32"/>
          <w:szCs w:val="32"/>
          <w:u w:val="none"/>
          <w:lang w:val="en-US" w:eastAsia="zh-CN"/>
        </w:rPr>
        <w:t>2024年度收入预算7422.99</w:t>
      </w:r>
      <w:r>
        <w:rPr>
          <w:rFonts w:hint="eastAsia" w:ascii="仿宋_GB2312" w:eastAsia="仿宋_GB2312" w:cs="Droid Sans"/>
          <w:color w:val="auto"/>
          <w:sz w:val="32"/>
          <w:szCs w:val="32"/>
          <w:u w:val="none"/>
        </w:rPr>
        <w:t>万元</w:t>
      </w:r>
      <w:r>
        <w:rPr>
          <w:rFonts w:hint="eastAsia" w:ascii="仿宋_GB2312" w:eastAsia="仿宋_GB2312" w:cs="Droid Sans"/>
          <w:color w:val="auto"/>
          <w:sz w:val="32"/>
          <w:szCs w:val="32"/>
          <w:u w:val="none"/>
          <w:lang w:eastAsia="zh-CN"/>
        </w:rPr>
        <w:t>，</w:t>
      </w:r>
      <w:r>
        <w:rPr>
          <w:rFonts w:hint="eastAsia" w:ascii="仿宋_GB2312" w:eastAsia="仿宋_GB2312"/>
          <w:color w:val="auto"/>
          <w:sz w:val="32"/>
          <w:szCs w:val="32"/>
          <w:u w:val="none"/>
        </w:rPr>
        <w:t>比</w:t>
      </w:r>
      <w:r>
        <w:rPr>
          <w:rFonts w:hint="eastAsia" w:ascii="仿宋_GB2312" w:eastAsia="仿宋_GB2312"/>
          <w:color w:val="auto"/>
          <w:sz w:val="32"/>
          <w:szCs w:val="32"/>
          <w:u w:val="none"/>
          <w:lang w:eastAsia="zh-CN"/>
        </w:rPr>
        <w:t>2023年年初预算数</w:t>
      </w:r>
      <w:r>
        <w:rPr>
          <w:rFonts w:hint="eastAsia" w:ascii="仿宋_GB2312" w:eastAsia="仿宋_GB2312"/>
          <w:color w:val="auto"/>
          <w:sz w:val="32"/>
          <w:szCs w:val="32"/>
          <w:u w:val="none"/>
          <w:lang w:val="en-US" w:eastAsia="zh-CN"/>
        </w:rPr>
        <w:t>7717.47</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减少</w:t>
      </w:r>
      <w:r>
        <w:rPr>
          <w:rFonts w:hint="eastAsia" w:ascii="仿宋_GB2312" w:eastAsia="仿宋_GB2312"/>
          <w:color w:val="auto"/>
          <w:sz w:val="32"/>
          <w:szCs w:val="32"/>
          <w:u w:val="none"/>
          <w:lang w:val="en-US" w:eastAsia="zh-CN"/>
        </w:rPr>
        <w:t>294.48</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，下降</w:t>
      </w:r>
      <w:r>
        <w:rPr>
          <w:rFonts w:hint="eastAsia" w:ascii="仿宋_GB2312" w:eastAsia="仿宋_GB2312"/>
          <w:color w:val="auto"/>
          <w:sz w:val="32"/>
          <w:szCs w:val="32"/>
          <w:u w:val="none"/>
          <w:lang w:val="en-US" w:eastAsia="zh-CN"/>
        </w:rPr>
        <w:t>3.82</w:t>
      </w:r>
      <w:r>
        <w:rPr>
          <w:rFonts w:hint="eastAsia" w:ascii="仿宋_GB2312" w:eastAsia="仿宋_GB2312"/>
          <w:color w:val="auto"/>
          <w:sz w:val="32"/>
          <w:szCs w:val="32"/>
          <w:u w:val="none"/>
        </w:rPr>
        <w:t>%。</w:t>
      </w:r>
      <w:r>
        <w:rPr>
          <w:rFonts w:hint="eastAsia" w:ascii="仿宋_GB2312" w:eastAsia="仿宋_GB2312" w:cs="仿宋_GB2312"/>
          <w:kern w:val="0"/>
          <w:sz w:val="32"/>
          <w:szCs w:val="32"/>
        </w:rPr>
        <w:t>主要原因是</w:t>
      </w:r>
      <w:r>
        <w:rPr>
          <w:rFonts w:hint="eastAsia" w:ascii="仿宋_GB2312" w:eastAsia="仿宋_GB2312"/>
          <w:sz w:val="32"/>
          <w:szCs w:val="32"/>
        </w:rPr>
        <w:t>根据</w:t>
      </w:r>
      <w:r>
        <w:rPr>
          <w:rFonts w:ascii="仿宋_GB2312" w:eastAsia="仿宋_GB2312"/>
          <w:sz w:val="32"/>
          <w:szCs w:val="32"/>
        </w:rPr>
        <w:t>事业发展规划调整</w:t>
      </w:r>
      <w:r>
        <w:rPr>
          <w:rFonts w:hint="eastAsia" w:ascii="仿宋_GB2312" w:eastAsia="仿宋_GB2312"/>
          <w:sz w:val="32"/>
          <w:szCs w:val="32"/>
        </w:rPr>
        <w:t>收入结构</w:t>
      </w:r>
      <w:r>
        <w:rPr>
          <w:rFonts w:hint="eastAsia" w:ascii="仿宋_GB2312" w:eastAsia="仿宋_GB2312" w:cs="仿宋_GB2312"/>
          <w:kern w:val="0"/>
          <w:sz w:val="32"/>
          <w:szCs w:val="32"/>
        </w:rPr>
        <w:t>。</w:t>
      </w:r>
    </w:p>
    <w:p>
      <w:pPr>
        <w:spacing w:line="560" w:lineRule="exact"/>
        <w:ind w:firstLine="640" w:firstLineChars="200"/>
        <w:rPr>
          <w:rFonts w:hint="eastAsia" w:ascii="楷体_GB2312" w:eastAsia="楷体_GB2312"/>
          <w:color w:val="auto"/>
          <w:sz w:val="32"/>
          <w:szCs w:val="32"/>
          <w:u w:val="none"/>
          <w:lang w:eastAsia="zh-CN"/>
        </w:rPr>
      </w:pPr>
      <w:r>
        <w:rPr>
          <w:rFonts w:hint="eastAsia" w:ascii="楷体_GB2312" w:eastAsia="楷体_GB2312"/>
          <w:color w:val="auto"/>
          <w:sz w:val="32"/>
          <w:szCs w:val="32"/>
          <w:u w:val="none"/>
        </w:rPr>
        <w:t>（一）</w:t>
      </w:r>
      <w:r>
        <w:rPr>
          <w:rFonts w:hint="eastAsia" w:ascii="楷体_GB2312" w:eastAsia="楷体_GB2312"/>
          <w:color w:val="auto"/>
          <w:sz w:val="32"/>
          <w:szCs w:val="32"/>
          <w:u w:val="none"/>
          <w:lang w:eastAsia="zh-CN"/>
        </w:rPr>
        <w:t>本年财政拨款收入</w:t>
      </w:r>
      <w:r>
        <w:rPr>
          <w:rFonts w:hint="eastAsia" w:ascii="楷体_GB2312" w:eastAsia="楷体_GB2312"/>
          <w:color w:val="auto"/>
          <w:sz w:val="32"/>
          <w:szCs w:val="32"/>
          <w:u w:val="none"/>
          <w:lang w:val="en-US" w:eastAsia="zh-CN"/>
        </w:rPr>
        <w:t>7002.99</w:t>
      </w:r>
      <w:r>
        <w:rPr>
          <w:rFonts w:hint="eastAsia" w:ascii="楷体_GB2312" w:eastAsia="楷体_GB2312"/>
          <w:color w:val="auto"/>
          <w:sz w:val="32"/>
          <w:szCs w:val="32"/>
          <w:u w:val="none"/>
          <w:lang w:eastAsia="zh-CN"/>
        </w:rPr>
        <w:t>万元</w:t>
      </w:r>
    </w:p>
    <w:p>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1.</w:t>
      </w:r>
      <w:r>
        <w:rPr>
          <w:rFonts w:hint="eastAsia" w:ascii="仿宋_GB2312" w:eastAsia="仿宋_GB2312" w:cs="Droid Sans"/>
          <w:color w:val="auto"/>
          <w:sz w:val="32"/>
          <w:szCs w:val="32"/>
          <w:u w:val="none"/>
          <w:lang w:eastAsia="zh-CN"/>
        </w:rPr>
        <w:t>一般公共预算拨款收入</w:t>
      </w:r>
      <w:r>
        <w:rPr>
          <w:rFonts w:hint="eastAsia" w:ascii="仿宋_GB2312" w:eastAsia="仿宋_GB2312" w:cs="Droid Sans"/>
          <w:color w:val="auto"/>
          <w:sz w:val="32"/>
          <w:szCs w:val="32"/>
          <w:u w:val="none"/>
          <w:lang w:val="en-US" w:eastAsia="zh-CN"/>
        </w:rPr>
        <w:t>7002.99</w:t>
      </w:r>
      <w:r>
        <w:rPr>
          <w:rFonts w:hint="eastAsia" w:ascii="仿宋_GB2312" w:eastAsia="仿宋_GB2312" w:cs="Droid Sans"/>
          <w:color w:val="auto"/>
          <w:sz w:val="32"/>
          <w:szCs w:val="32"/>
          <w:u w:val="none"/>
        </w:rPr>
        <w:t>万元。</w:t>
      </w:r>
    </w:p>
    <w:p>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2.政府性基金</w:t>
      </w:r>
      <w:r>
        <w:rPr>
          <w:rFonts w:hint="eastAsia" w:ascii="仿宋_GB2312" w:eastAsia="仿宋_GB2312" w:cs="Droid Sans"/>
          <w:color w:val="auto"/>
          <w:sz w:val="32"/>
          <w:szCs w:val="32"/>
          <w:u w:val="none"/>
          <w:lang w:eastAsia="zh-CN"/>
        </w:rPr>
        <w:t>预算拨款收入</w:t>
      </w:r>
      <w:r>
        <w:rPr>
          <w:rFonts w:hint="eastAsia" w:ascii="仿宋_GB2312" w:eastAsia="仿宋_GB2312" w:cs="Droid Sans"/>
          <w:color w:val="auto"/>
          <w:sz w:val="32"/>
          <w:szCs w:val="32"/>
          <w:u w:val="none"/>
          <w:lang w:val="en-US" w:eastAsia="zh-CN"/>
        </w:rPr>
        <w:t>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3.国有资本经营</w:t>
      </w:r>
      <w:r>
        <w:rPr>
          <w:rFonts w:hint="eastAsia" w:ascii="仿宋_GB2312" w:eastAsia="仿宋_GB2312" w:cs="Droid Sans"/>
          <w:color w:val="auto"/>
          <w:sz w:val="32"/>
          <w:szCs w:val="32"/>
          <w:u w:val="none"/>
          <w:lang w:eastAsia="zh-CN"/>
        </w:rPr>
        <w:t>预算拨款收入</w:t>
      </w:r>
      <w:r>
        <w:rPr>
          <w:rFonts w:hint="eastAsia" w:ascii="仿宋_GB2312" w:eastAsia="仿宋_GB2312" w:cs="Droid Sans"/>
          <w:color w:val="auto"/>
          <w:sz w:val="32"/>
          <w:szCs w:val="32"/>
          <w:u w:val="none"/>
          <w:lang w:val="en-US" w:eastAsia="zh-CN"/>
        </w:rPr>
        <w:t>0</w:t>
      </w:r>
      <w:r>
        <w:rPr>
          <w:rFonts w:hint="eastAsia" w:ascii="仿宋_GB2312" w:eastAsia="仿宋_GB2312" w:cs="Droid Sans"/>
          <w:color w:val="auto"/>
          <w:sz w:val="32"/>
          <w:szCs w:val="32"/>
          <w:u w:val="none"/>
        </w:rPr>
        <w:t>万元。</w:t>
      </w:r>
    </w:p>
    <w:p>
      <w:pPr>
        <w:spacing w:line="560" w:lineRule="exact"/>
        <w:ind w:firstLine="640" w:firstLineChars="200"/>
        <w:rPr>
          <w:rFonts w:hint="eastAsia" w:ascii="楷体_GB2312" w:eastAsia="楷体_GB2312" w:cs="Droid Sans"/>
          <w:color w:val="auto"/>
          <w:sz w:val="32"/>
          <w:szCs w:val="32"/>
          <w:u w:val="none"/>
          <w:lang w:eastAsia="zh-CN"/>
        </w:rPr>
      </w:pP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二</w:t>
      </w: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本年其他资金</w:t>
      </w:r>
      <w:r>
        <w:rPr>
          <w:rFonts w:hint="eastAsia" w:ascii="楷体_GB2312" w:eastAsia="楷体_GB2312" w:cs="Droid Sans"/>
          <w:color w:val="auto"/>
          <w:sz w:val="32"/>
          <w:szCs w:val="32"/>
          <w:u w:val="none"/>
          <w:lang w:eastAsia="zh-CN"/>
        </w:rPr>
        <w:t>收入</w:t>
      </w:r>
      <w:r>
        <w:rPr>
          <w:rFonts w:hint="eastAsia" w:ascii="楷体_GB2312" w:eastAsia="楷体_GB2312" w:cs="Droid Sans"/>
          <w:color w:val="auto"/>
          <w:sz w:val="32"/>
          <w:szCs w:val="32"/>
          <w:u w:val="none"/>
          <w:lang w:val="en-US" w:eastAsia="zh-CN"/>
        </w:rPr>
        <w:t>370</w:t>
      </w:r>
      <w:r>
        <w:rPr>
          <w:rFonts w:hint="eastAsia" w:ascii="楷体_GB2312" w:eastAsia="楷体_GB2312" w:cs="Droid Sans"/>
          <w:color w:val="auto"/>
          <w:sz w:val="32"/>
          <w:szCs w:val="32"/>
          <w:u w:val="none"/>
          <w:lang w:eastAsia="zh-CN"/>
        </w:rPr>
        <w:t>万元</w:t>
      </w:r>
    </w:p>
    <w:p>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4.财政专户管理资金收入185</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5.事业收入0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6.上级补助收入0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7.附属单位上缴收入0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8.事业单位经营收入0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9.其他收入185</w:t>
      </w:r>
      <w:r>
        <w:rPr>
          <w:rFonts w:hint="eastAsia" w:ascii="仿宋_GB2312" w:eastAsia="仿宋_GB2312" w:cs="Droid Sans"/>
          <w:color w:val="auto"/>
          <w:sz w:val="32"/>
          <w:szCs w:val="32"/>
          <w:u w:val="none"/>
        </w:rPr>
        <w:t>万元。</w:t>
      </w:r>
    </w:p>
    <w:p>
      <w:pPr>
        <w:spacing w:line="560" w:lineRule="exact"/>
        <w:ind w:firstLine="640" w:firstLineChars="200"/>
        <w:rPr>
          <w:rFonts w:hint="eastAsia" w:ascii="楷体_GB2312" w:eastAsia="楷体_GB2312" w:cs="Droid Sans"/>
          <w:color w:val="auto"/>
          <w:sz w:val="32"/>
          <w:szCs w:val="32"/>
          <w:u w:val="none"/>
          <w:lang w:eastAsia="zh-CN"/>
        </w:rPr>
      </w:pP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三</w:t>
      </w: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上年结转结余</w:t>
      </w:r>
      <w:r>
        <w:rPr>
          <w:rFonts w:hint="eastAsia" w:ascii="楷体_GB2312" w:eastAsia="楷体_GB2312" w:cs="Droid Sans"/>
          <w:color w:val="auto"/>
          <w:sz w:val="32"/>
          <w:szCs w:val="32"/>
          <w:u w:val="none"/>
          <w:lang w:val="en-US" w:eastAsia="zh-CN"/>
        </w:rPr>
        <w:t>50</w:t>
      </w:r>
      <w:r>
        <w:rPr>
          <w:rFonts w:hint="eastAsia" w:ascii="楷体_GB2312" w:eastAsia="楷体_GB2312" w:cs="Droid Sans"/>
          <w:color w:val="auto"/>
          <w:sz w:val="32"/>
          <w:szCs w:val="32"/>
          <w:u w:val="none"/>
          <w:lang w:eastAsia="zh-CN"/>
        </w:rPr>
        <w:t>万元</w:t>
      </w:r>
    </w:p>
    <w:p>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10.上年结转结余50</w:t>
      </w:r>
      <w:r>
        <w:rPr>
          <w:rFonts w:hint="eastAsia" w:ascii="仿宋_GB2312" w:eastAsia="仿宋_GB2312" w:cs="Droid Sans"/>
          <w:color w:val="auto"/>
          <w:sz w:val="32"/>
          <w:szCs w:val="32"/>
          <w:u w:val="none"/>
        </w:rPr>
        <w:t>万元。</w:t>
      </w:r>
    </w:p>
    <w:p>
      <w:pPr>
        <w:pStyle w:val="2"/>
        <w:rPr>
          <w:rFonts w:hint="eastAsia"/>
        </w:rPr>
      </w:pPr>
      <w:r>
        <w:rPr>
          <w:rFonts w:hint="eastAsia" w:ascii="仿宋_GB2312" w:eastAsia="仿宋_GB2312" w:cs="仿宋_GB2312"/>
          <w:kern w:val="0"/>
          <w:sz w:val="32"/>
          <w:szCs w:val="32"/>
        </w:rPr>
        <w:drawing>
          <wp:inline distT="0" distB="0" distL="0" distR="0">
            <wp:extent cx="5274310" cy="3076575"/>
            <wp:effectExtent l="5080" t="4445" r="16510" b="5080"/>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pPr>
        <w:pStyle w:val="2"/>
        <w:ind w:firstLine="0"/>
        <w:jc w:val="center"/>
        <w:rPr>
          <w:rFonts w:hint="eastAsia" w:ascii="仿宋_GB2312" w:eastAsia="仿宋_GB2312"/>
          <w:b w:val="0"/>
          <w:bCs w:val="0"/>
          <w:color w:val="auto"/>
          <w:sz w:val="32"/>
          <w:szCs w:val="32"/>
          <w:u w:val="none"/>
          <w:lang w:val="en-US" w:eastAsia="zh-CN"/>
        </w:rPr>
      </w:pPr>
      <w:r>
        <w:rPr>
          <w:rFonts w:hint="eastAsia" w:eastAsia="仿宋_GB2312"/>
          <w:lang w:val="en-US" w:eastAsia="zh-CN"/>
        </w:rPr>
        <w:t xml:space="preserve"> </w:t>
      </w:r>
      <w:r>
        <w:rPr>
          <w:rFonts w:hint="eastAsia" w:ascii="仿宋_GB2312" w:eastAsia="仿宋_GB2312"/>
          <w:color w:val="auto"/>
          <w:sz w:val="32"/>
          <w:szCs w:val="32"/>
          <w:u w:val="none"/>
          <w:lang w:val="en-US" w:eastAsia="zh-CN"/>
        </w:rPr>
        <w:t>图1：收入预算</w:t>
      </w:r>
    </w:p>
    <w:p>
      <w:pPr>
        <w:spacing w:line="560" w:lineRule="exact"/>
        <w:ind w:firstLine="640" w:firstLineChars="200"/>
        <w:rPr>
          <w:rFonts w:hint="eastAsia" w:ascii="黑体" w:eastAsia="黑体" w:cs="Droid Sans"/>
          <w:color w:val="auto"/>
          <w:sz w:val="32"/>
          <w:szCs w:val="32"/>
          <w:u w:val="none"/>
        </w:rPr>
      </w:pPr>
      <w:r>
        <w:rPr>
          <w:rFonts w:hint="eastAsia" w:ascii="黑体" w:eastAsia="黑体" w:cs="Droid Sans"/>
          <w:color w:val="auto"/>
          <w:sz w:val="32"/>
          <w:szCs w:val="32"/>
          <w:u w:val="none"/>
          <w:lang w:eastAsia="zh-CN"/>
        </w:rPr>
        <w:t>三、</w:t>
      </w:r>
      <w:r>
        <w:rPr>
          <w:rFonts w:hint="eastAsia" w:ascii="黑体" w:eastAsia="黑体" w:cs="Droid Sans"/>
          <w:color w:val="auto"/>
          <w:sz w:val="32"/>
          <w:szCs w:val="32"/>
          <w:u w:val="none"/>
        </w:rPr>
        <w:t>支出</w:t>
      </w:r>
      <w:r>
        <w:rPr>
          <w:rFonts w:hint="eastAsia" w:ascii="黑体" w:eastAsia="黑体" w:cs="Droid Sans"/>
          <w:color w:val="auto"/>
          <w:sz w:val="32"/>
          <w:szCs w:val="32"/>
          <w:u w:val="none"/>
          <w:lang w:eastAsia="zh-CN"/>
        </w:rPr>
        <w:t>预算</w:t>
      </w:r>
      <w:r>
        <w:rPr>
          <w:rFonts w:hint="eastAsia" w:ascii="黑体" w:eastAsia="黑体" w:cs="Droid Sans"/>
          <w:color w:val="auto"/>
          <w:sz w:val="32"/>
          <w:szCs w:val="32"/>
          <w:u w:val="none"/>
        </w:rPr>
        <w:t>情况说明</w:t>
      </w:r>
      <w:r>
        <w:rPr>
          <w:rFonts w:hint="eastAsia" w:ascii="仿宋_GB2312" w:eastAsia="仿宋_GB2312"/>
          <w:color w:val="000000"/>
          <w:sz w:val="32"/>
          <w:szCs w:val="32"/>
          <w:u w:val="none"/>
          <w:lang w:val="en-US" w:eastAsia="zh-CN"/>
        </w:rPr>
        <w:t xml:space="preserve"> </w:t>
      </w:r>
    </w:p>
    <w:p>
      <w:pPr>
        <w:autoSpaceDE w:val="0"/>
        <w:autoSpaceDN w:val="0"/>
        <w:adjustRightInd w:val="0"/>
        <w:ind w:firstLine="640" w:firstLineChars="200"/>
        <w:jc w:val="left"/>
        <w:rPr>
          <w:rFonts w:ascii="仿宋_GB2312" w:eastAsia="仿宋_GB2312" w:cs="仿宋_GB2312"/>
          <w:kern w:val="0"/>
          <w:sz w:val="32"/>
          <w:szCs w:val="32"/>
        </w:rPr>
      </w:pPr>
      <w:r>
        <w:rPr>
          <w:rFonts w:hint="eastAsia" w:ascii="仿宋_GB2312" w:eastAsia="仿宋_GB2312"/>
          <w:color w:val="auto"/>
          <w:sz w:val="32"/>
          <w:szCs w:val="32"/>
          <w:u w:val="none"/>
          <w:lang w:eastAsia="zh-CN"/>
        </w:rPr>
        <w:t>2024年</w:t>
      </w:r>
      <w:r>
        <w:rPr>
          <w:rFonts w:hint="eastAsia" w:ascii="仿宋_GB2312" w:eastAsia="仿宋_GB2312"/>
          <w:color w:val="auto"/>
          <w:sz w:val="32"/>
          <w:szCs w:val="32"/>
          <w:u w:val="none"/>
        </w:rPr>
        <w:t>支出预算</w:t>
      </w:r>
      <w:r>
        <w:rPr>
          <w:rFonts w:hint="eastAsia" w:ascii="仿宋_GB2312" w:eastAsia="仿宋_GB2312"/>
          <w:color w:val="auto"/>
          <w:sz w:val="32"/>
          <w:szCs w:val="32"/>
          <w:u w:val="none"/>
          <w:lang w:val="en-US" w:eastAsia="zh-CN"/>
        </w:rPr>
        <w:t>7422.99</w:t>
      </w:r>
      <w:r>
        <w:rPr>
          <w:rFonts w:hint="eastAsia" w:ascii="仿宋_GB2312" w:eastAsia="仿宋_GB2312"/>
          <w:color w:val="auto"/>
          <w:sz w:val="32"/>
          <w:szCs w:val="32"/>
          <w:u w:val="none"/>
        </w:rPr>
        <w:t>万元，比</w:t>
      </w:r>
      <w:r>
        <w:rPr>
          <w:rFonts w:hint="eastAsia" w:ascii="仿宋_GB2312" w:eastAsia="仿宋_GB2312"/>
          <w:color w:val="auto"/>
          <w:sz w:val="32"/>
          <w:szCs w:val="32"/>
          <w:u w:val="none"/>
          <w:lang w:eastAsia="zh-CN"/>
        </w:rPr>
        <w:t>2023年年初预算数</w:t>
      </w:r>
      <w:r>
        <w:rPr>
          <w:rFonts w:hint="eastAsia" w:ascii="仿宋_GB2312" w:eastAsia="仿宋_GB2312"/>
          <w:color w:val="auto"/>
          <w:sz w:val="32"/>
          <w:szCs w:val="32"/>
          <w:u w:val="none"/>
          <w:lang w:val="en-US" w:eastAsia="zh-CN"/>
        </w:rPr>
        <w:t>7717.47</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减少</w:t>
      </w:r>
      <w:r>
        <w:rPr>
          <w:rFonts w:hint="eastAsia" w:ascii="仿宋_GB2312" w:eastAsia="仿宋_GB2312"/>
          <w:color w:val="auto"/>
          <w:sz w:val="32"/>
          <w:szCs w:val="32"/>
          <w:u w:val="none"/>
          <w:lang w:val="en-US" w:eastAsia="zh-CN"/>
        </w:rPr>
        <w:t>294.48</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下降</w:t>
      </w:r>
      <w:r>
        <w:rPr>
          <w:rFonts w:hint="eastAsia" w:ascii="仿宋_GB2312" w:eastAsia="仿宋_GB2312"/>
          <w:color w:val="auto"/>
          <w:sz w:val="32"/>
          <w:szCs w:val="32"/>
          <w:u w:val="none"/>
          <w:lang w:val="en-US" w:eastAsia="zh-CN"/>
        </w:rPr>
        <w:t>3.82</w:t>
      </w:r>
      <w:r>
        <w:rPr>
          <w:rFonts w:hint="eastAsia" w:ascii="仿宋_GB2312" w:eastAsia="仿宋_GB2312"/>
          <w:color w:val="auto"/>
          <w:sz w:val="32"/>
          <w:szCs w:val="32"/>
          <w:u w:val="none"/>
        </w:rPr>
        <w:t>%。</w:t>
      </w:r>
      <w:r>
        <w:rPr>
          <w:rFonts w:hint="eastAsia" w:ascii="仿宋_GB2312" w:eastAsia="仿宋_GB2312" w:cs="仿宋_GB2312"/>
          <w:kern w:val="0"/>
          <w:sz w:val="32"/>
          <w:szCs w:val="32"/>
        </w:rPr>
        <w:t>主要原因是</w:t>
      </w:r>
      <w:r>
        <w:rPr>
          <w:rFonts w:hint="eastAsia" w:ascii="仿宋_GB2312" w:eastAsia="仿宋_GB2312"/>
          <w:sz w:val="32"/>
          <w:szCs w:val="32"/>
        </w:rPr>
        <w:t>根据</w:t>
      </w:r>
      <w:r>
        <w:rPr>
          <w:rFonts w:ascii="仿宋_GB2312" w:eastAsia="仿宋_GB2312"/>
          <w:sz w:val="32"/>
          <w:szCs w:val="32"/>
        </w:rPr>
        <w:t>事业发展规划调整</w:t>
      </w:r>
      <w:r>
        <w:rPr>
          <w:rFonts w:hint="eastAsia" w:ascii="仿宋_GB2312" w:eastAsia="仿宋_GB2312"/>
          <w:sz w:val="32"/>
          <w:szCs w:val="32"/>
          <w:lang w:eastAsia="zh-CN"/>
        </w:rPr>
        <w:t>支出</w:t>
      </w:r>
      <w:r>
        <w:rPr>
          <w:rFonts w:hint="eastAsia" w:ascii="仿宋_GB2312" w:eastAsia="仿宋_GB2312"/>
          <w:sz w:val="32"/>
          <w:szCs w:val="32"/>
        </w:rPr>
        <w:t>结构</w:t>
      </w:r>
      <w:r>
        <w:rPr>
          <w:rFonts w:hint="eastAsia" w:ascii="仿宋_GB2312" w:eastAsia="仿宋_GB2312" w:cs="仿宋_GB2312"/>
          <w:kern w:val="0"/>
          <w:sz w:val="32"/>
          <w:szCs w:val="32"/>
        </w:rPr>
        <w:t>。</w:t>
      </w:r>
    </w:p>
    <w:p>
      <w:pPr>
        <w:spacing w:line="560" w:lineRule="exact"/>
        <w:ind w:firstLine="640"/>
        <w:rPr>
          <w:rFonts w:hint="eastAsia" w:ascii="仿宋_GB2312" w:eastAsia="仿宋_GB2312"/>
          <w:color w:val="auto"/>
          <w:sz w:val="32"/>
          <w:szCs w:val="32"/>
          <w:u w:val="none"/>
        </w:rPr>
      </w:pPr>
      <w:r>
        <w:rPr>
          <w:rFonts w:hint="eastAsia" w:ascii="楷体_GB2312" w:hAnsi="楷体_GB2312" w:eastAsia="楷体_GB2312" w:cs="楷体_GB2312"/>
          <w:color w:val="auto"/>
          <w:sz w:val="32"/>
          <w:szCs w:val="32"/>
          <w:highlight w:val="none"/>
          <w:u w:val="none"/>
          <w:lang w:val="en-US" w:eastAsia="zh-CN"/>
        </w:rPr>
        <w:t>（一）</w:t>
      </w:r>
      <w:r>
        <w:rPr>
          <w:rFonts w:hint="eastAsia" w:ascii="楷体_GB2312" w:hAnsi="楷体_GB2312" w:eastAsia="楷体_GB2312" w:cs="楷体_GB2312"/>
          <w:color w:val="auto"/>
          <w:sz w:val="32"/>
          <w:szCs w:val="32"/>
          <w:highlight w:val="none"/>
          <w:u w:val="none"/>
        </w:rPr>
        <w:t>基本</w:t>
      </w:r>
      <w:r>
        <w:rPr>
          <w:rFonts w:hint="eastAsia" w:ascii="楷体_GB2312" w:hAnsi="楷体_GB2312" w:eastAsia="楷体_GB2312" w:cs="楷体_GB2312"/>
          <w:color w:val="auto"/>
          <w:sz w:val="32"/>
          <w:szCs w:val="32"/>
          <w:highlight w:val="none"/>
          <w:u w:val="none"/>
          <w:lang w:eastAsia="zh-CN"/>
        </w:rPr>
        <w:t>支出。</w:t>
      </w:r>
      <w:r>
        <w:rPr>
          <w:rFonts w:hint="eastAsia" w:ascii="仿宋_GB2312" w:eastAsia="仿宋_GB2312"/>
          <w:color w:val="auto"/>
          <w:sz w:val="32"/>
          <w:szCs w:val="32"/>
          <w:highlight w:val="none"/>
          <w:u w:val="none"/>
          <w:lang w:eastAsia="zh-CN"/>
        </w:rPr>
        <w:t>基本</w:t>
      </w:r>
      <w:r>
        <w:rPr>
          <w:rFonts w:hint="eastAsia" w:ascii="仿宋_GB2312" w:eastAsia="仿宋_GB2312"/>
          <w:color w:val="auto"/>
          <w:sz w:val="32"/>
          <w:szCs w:val="32"/>
          <w:highlight w:val="none"/>
          <w:u w:val="none"/>
        </w:rPr>
        <w:t>支出预算</w:t>
      </w:r>
      <w:r>
        <w:rPr>
          <w:rFonts w:hint="eastAsia" w:ascii="仿宋_GB2312" w:eastAsia="仿宋_GB2312"/>
          <w:color w:val="auto"/>
          <w:sz w:val="32"/>
          <w:szCs w:val="32"/>
          <w:highlight w:val="none"/>
          <w:u w:val="none"/>
          <w:lang w:val="en-US" w:eastAsia="zh-CN"/>
        </w:rPr>
        <w:t>5188.94</w:t>
      </w:r>
      <w:r>
        <w:rPr>
          <w:rFonts w:hint="eastAsia" w:ascii="仿宋_GB2312" w:eastAsia="仿宋_GB2312"/>
          <w:color w:val="auto"/>
          <w:sz w:val="32"/>
          <w:szCs w:val="32"/>
          <w:highlight w:val="none"/>
          <w:u w:val="none"/>
        </w:rPr>
        <w:t>万元，占总支出预算</w:t>
      </w:r>
      <w:r>
        <w:rPr>
          <w:rFonts w:hint="eastAsia" w:ascii="仿宋_GB2312" w:eastAsia="仿宋_GB2312"/>
          <w:color w:val="auto"/>
          <w:sz w:val="32"/>
          <w:szCs w:val="32"/>
          <w:u w:val="none"/>
          <w:lang w:val="en-US" w:eastAsia="zh-CN"/>
        </w:rPr>
        <w:t>69.90</w:t>
      </w:r>
      <w:r>
        <w:rPr>
          <w:rFonts w:hint="eastAsia" w:ascii="仿宋_GB2312" w:eastAsia="仿宋_GB2312"/>
          <w:color w:val="auto"/>
          <w:sz w:val="32"/>
          <w:szCs w:val="32"/>
          <w:u w:val="none"/>
        </w:rPr>
        <w:t>%，比</w:t>
      </w:r>
      <w:r>
        <w:rPr>
          <w:rFonts w:hint="eastAsia" w:ascii="仿宋_GB2312" w:eastAsia="仿宋_GB2312"/>
          <w:color w:val="auto"/>
          <w:sz w:val="32"/>
          <w:szCs w:val="32"/>
          <w:u w:val="none"/>
          <w:lang w:eastAsia="zh-CN"/>
        </w:rPr>
        <w:t>2023年年初预算数</w:t>
      </w:r>
      <w:r>
        <w:rPr>
          <w:rFonts w:hint="eastAsia" w:ascii="仿宋_GB2312" w:eastAsia="仿宋_GB2312"/>
          <w:color w:val="auto"/>
          <w:sz w:val="32"/>
          <w:szCs w:val="32"/>
          <w:u w:val="none"/>
          <w:lang w:val="en-US" w:eastAsia="zh-CN"/>
        </w:rPr>
        <w:t>5010.54</w:t>
      </w:r>
      <w:r>
        <w:rPr>
          <w:rFonts w:hint="eastAsia" w:ascii="仿宋_GB2312" w:eastAsia="仿宋_GB2312"/>
          <w:color w:val="auto"/>
          <w:sz w:val="32"/>
          <w:szCs w:val="32"/>
          <w:u w:val="none"/>
        </w:rPr>
        <w:t>万元增加</w:t>
      </w:r>
      <w:r>
        <w:rPr>
          <w:rFonts w:hint="eastAsia" w:ascii="仿宋_GB2312" w:eastAsia="仿宋_GB2312"/>
          <w:color w:val="auto"/>
          <w:sz w:val="32"/>
          <w:szCs w:val="32"/>
          <w:u w:val="none"/>
          <w:lang w:val="en-US" w:eastAsia="zh-CN"/>
        </w:rPr>
        <w:t>178.40</w:t>
      </w:r>
      <w:r>
        <w:rPr>
          <w:rFonts w:hint="eastAsia" w:ascii="仿宋_GB2312" w:eastAsia="仿宋_GB2312"/>
          <w:color w:val="auto"/>
          <w:sz w:val="32"/>
          <w:szCs w:val="32"/>
          <w:u w:val="none"/>
        </w:rPr>
        <w:t>万元，增长</w:t>
      </w:r>
      <w:r>
        <w:rPr>
          <w:rFonts w:hint="eastAsia" w:ascii="仿宋_GB2312" w:eastAsia="仿宋_GB2312"/>
          <w:color w:val="auto"/>
          <w:sz w:val="32"/>
          <w:szCs w:val="32"/>
          <w:u w:val="none"/>
          <w:lang w:val="en-US" w:eastAsia="zh-CN"/>
        </w:rPr>
        <w:t>3.56</w:t>
      </w:r>
      <w:r>
        <w:rPr>
          <w:rFonts w:hint="eastAsia" w:ascii="仿宋_GB2312" w:eastAsia="仿宋_GB2312"/>
          <w:color w:val="auto"/>
          <w:sz w:val="32"/>
          <w:szCs w:val="32"/>
          <w:u w:val="none"/>
        </w:rPr>
        <w:t>%。</w:t>
      </w:r>
    </w:p>
    <w:p>
      <w:pPr>
        <w:spacing w:line="560" w:lineRule="exact"/>
        <w:ind w:firstLine="640"/>
        <w:rPr>
          <w:rFonts w:hint="eastAsia" w:ascii="仿宋_GB2312" w:eastAsia="仿宋_GB2312"/>
          <w:color w:val="auto"/>
          <w:sz w:val="32"/>
          <w:szCs w:val="32"/>
          <w:u w:val="none"/>
        </w:rPr>
      </w:pPr>
      <w:r>
        <w:rPr>
          <w:rFonts w:hint="eastAsia" w:ascii="楷体_GB2312" w:hAnsi="楷体_GB2312" w:eastAsia="楷体_GB2312" w:cs="楷体_GB2312"/>
          <w:color w:val="auto"/>
          <w:sz w:val="32"/>
          <w:szCs w:val="32"/>
          <w:u w:val="none"/>
          <w:lang w:eastAsia="zh-CN"/>
        </w:rPr>
        <w:t>（二）项目支出。</w:t>
      </w:r>
      <w:r>
        <w:rPr>
          <w:rFonts w:hint="eastAsia" w:ascii="仿宋_GB2312" w:eastAsia="仿宋_GB2312"/>
          <w:color w:val="auto"/>
          <w:sz w:val="32"/>
          <w:szCs w:val="32"/>
          <w:u w:val="none"/>
        </w:rPr>
        <w:t>项目支出预算</w:t>
      </w:r>
      <w:r>
        <w:rPr>
          <w:rFonts w:hint="eastAsia" w:ascii="仿宋_GB2312" w:eastAsia="仿宋_GB2312"/>
          <w:color w:val="auto"/>
          <w:sz w:val="32"/>
          <w:szCs w:val="32"/>
          <w:u w:val="none"/>
          <w:lang w:val="en-US" w:eastAsia="zh-CN"/>
        </w:rPr>
        <w:t>2234.05</w:t>
      </w:r>
      <w:r>
        <w:rPr>
          <w:rFonts w:hint="eastAsia" w:ascii="仿宋_GB2312" w:eastAsia="仿宋_GB2312"/>
          <w:color w:val="auto"/>
          <w:sz w:val="32"/>
          <w:szCs w:val="32"/>
          <w:u w:val="none"/>
        </w:rPr>
        <w:t>万元，比</w:t>
      </w:r>
      <w:r>
        <w:rPr>
          <w:rFonts w:hint="eastAsia" w:ascii="仿宋_GB2312" w:eastAsia="仿宋_GB2312"/>
          <w:color w:val="auto"/>
          <w:sz w:val="32"/>
          <w:szCs w:val="32"/>
          <w:u w:val="none"/>
          <w:lang w:eastAsia="zh-CN"/>
        </w:rPr>
        <w:t>2023年年初预算数</w:t>
      </w:r>
      <w:r>
        <w:rPr>
          <w:rFonts w:hint="eastAsia" w:ascii="仿宋_GB2312" w:eastAsia="仿宋_GB2312"/>
          <w:color w:val="auto"/>
          <w:sz w:val="32"/>
          <w:szCs w:val="32"/>
          <w:u w:val="none"/>
          <w:lang w:val="en-US" w:eastAsia="zh-CN"/>
        </w:rPr>
        <w:t>2706.92</w:t>
      </w:r>
      <w:r>
        <w:rPr>
          <w:rFonts w:hint="eastAsia" w:ascii="仿宋_GB2312" w:eastAsia="仿宋_GB2312"/>
          <w:color w:val="auto"/>
          <w:sz w:val="32"/>
          <w:szCs w:val="32"/>
          <w:u w:val="none"/>
        </w:rPr>
        <w:t>万元减少</w:t>
      </w:r>
      <w:r>
        <w:rPr>
          <w:rFonts w:hint="eastAsia" w:ascii="仿宋_GB2312" w:eastAsia="仿宋_GB2312"/>
          <w:color w:val="auto"/>
          <w:sz w:val="32"/>
          <w:szCs w:val="32"/>
          <w:u w:val="none"/>
          <w:lang w:val="en-US" w:eastAsia="zh-CN"/>
        </w:rPr>
        <w:t>472.87</w:t>
      </w:r>
      <w:r>
        <w:rPr>
          <w:rFonts w:hint="eastAsia" w:ascii="仿宋_GB2312" w:eastAsia="仿宋_GB2312"/>
          <w:color w:val="auto"/>
          <w:sz w:val="32"/>
          <w:szCs w:val="32"/>
          <w:u w:val="none"/>
        </w:rPr>
        <w:t>万元，下降</w:t>
      </w:r>
      <w:r>
        <w:rPr>
          <w:rFonts w:hint="eastAsia" w:ascii="仿宋_GB2312" w:eastAsia="仿宋_GB2312"/>
          <w:color w:val="auto"/>
          <w:sz w:val="32"/>
          <w:szCs w:val="32"/>
          <w:u w:val="none"/>
          <w:lang w:val="en-US" w:eastAsia="zh-CN"/>
        </w:rPr>
        <w:t>17.47</w:t>
      </w:r>
      <w:r>
        <w:rPr>
          <w:rFonts w:hint="eastAsia" w:ascii="仿宋_GB2312" w:eastAsia="仿宋_GB2312"/>
          <w:color w:val="auto"/>
          <w:sz w:val="32"/>
          <w:szCs w:val="32"/>
          <w:u w:val="none"/>
        </w:rPr>
        <w:t>%。其中：</w:t>
      </w:r>
    </w:p>
    <w:p>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1.事业单位经营支出</w:t>
      </w:r>
      <w:r>
        <w:rPr>
          <w:rFonts w:hint="eastAsia" w:ascii="仿宋_GB2312" w:eastAsia="仿宋_GB2312" w:cs="Droid Sans"/>
          <w:color w:val="auto"/>
          <w:sz w:val="32"/>
          <w:szCs w:val="32"/>
          <w:u w:val="none"/>
          <w:lang w:val="en-US" w:eastAsia="zh-CN"/>
        </w:rPr>
        <w:t>0</w:t>
      </w:r>
      <w:r>
        <w:rPr>
          <w:rFonts w:hint="eastAsia" w:ascii="仿宋_GB2312" w:eastAsia="仿宋_GB2312" w:cs="Droid Sans"/>
          <w:color w:val="auto"/>
          <w:sz w:val="32"/>
          <w:szCs w:val="32"/>
          <w:u w:val="none"/>
        </w:rPr>
        <w:t>万元。</w:t>
      </w:r>
    </w:p>
    <w:p>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2.上缴上级支出</w:t>
      </w:r>
      <w:r>
        <w:rPr>
          <w:rFonts w:hint="eastAsia" w:ascii="仿宋_GB2312" w:eastAsia="仿宋_GB2312" w:cs="Droid Sans"/>
          <w:color w:val="auto"/>
          <w:sz w:val="32"/>
          <w:szCs w:val="32"/>
          <w:u w:val="none"/>
          <w:lang w:val="en-US" w:eastAsia="zh-CN"/>
        </w:rPr>
        <w:t>0</w:t>
      </w:r>
      <w:r>
        <w:rPr>
          <w:rFonts w:hint="eastAsia" w:ascii="仿宋_GB2312" w:eastAsia="仿宋_GB2312" w:cs="Droid Sans"/>
          <w:color w:val="auto"/>
          <w:sz w:val="32"/>
          <w:szCs w:val="32"/>
          <w:u w:val="none"/>
        </w:rPr>
        <w:t>万元。</w:t>
      </w:r>
    </w:p>
    <w:p>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3.对附属单位补助支出</w:t>
      </w:r>
      <w:r>
        <w:rPr>
          <w:rFonts w:hint="eastAsia" w:ascii="仿宋_GB2312" w:eastAsia="仿宋_GB2312" w:cs="Droid Sans"/>
          <w:color w:val="auto"/>
          <w:sz w:val="32"/>
          <w:szCs w:val="32"/>
          <w:u w:val="none"/>
          <w:lang w:val="en-US" w:eastAsia="zh-CN"/>
        </w:rPr>
        <w:t>0</w:t>
      </w:r>
      <w:r>
        <w:rPr>
          <w:rFonts w:hint="eastAsia" w:ascii="仿宋_GB2312" w:eastAsia="仿宋_GB2312" w:cs="Droid Sans"/>
          <w:color w:val="auto"/>
          <w:sz w:val="32"/>
          <w:szCs w:val="32"/>
          <w:u w:val="none"/>
        </w:rPr>
        <w:t>万元。</w:t>
      </w:r>
    </w:p>
    <w:p>
      <w:pPr>
        <w:spacing w:line="560" w:lineRule="exact"/>
        <w:ind w:firstLine="640"/>
        <w:rPr>
          <w:rFonts w:hint="eastAsia"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 xml:space="preserve"> </w:t>
      </w:r>
    </w:p>
    <w:p>
      <w:pPr>
        <w:pStyle w:val="2"/>
        <w:rPr>
          <w:rFonts w:hint="eastAsia"/>
          <w:lang w:eastAsia="zh-CN"/>
        </w:rPr>
      </w:pPr>
      <w:r>
        <w:rPr>
          <w:rFonts w:hint="eastAsia" w:ascii="仿宋_GB2312" w:eastAsia="仿宋_GB2312" w:cs="仿宋_GB2312"/>
          <w:kern w:val="0"/>
          <w:sz w:val="32"/>
          <w:szCs w:val="32"/>
        </w:rPr>
        <w:drawing>
          <wp:inline distT="0" distB="0" distL="0" distR="0">
            <wp:extent cx="5349875" cy="3094990"/>
            <wp:effectExtent l="4445" t="4445" r="17780" b="5715"/>
            <wp:docPr id="7"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pStyle w:val="2"/>
        <w:ind w:firstLine="642"/>
        <w:jc w:val="center"/>
        <w:rPr>
          <w:rFonts w:hint="default" w:eastAsia="黑体"/>
          <w:color w:val="auto"/>
          <w:highlight w:val="none"/>
          <w:u w:val="none"/>
          <w:lang w:eastAsia="zh-CN"/>
        </w:rPr>
      </w:pPr>
      <w:r>
        <w:rPr>
          <w:rFonts w:hint="eastAsia" w:ascii="仿宋_GB2312" w:eastAsia="仿宋_GB2312"/>
          <w:color w:val="auto"/>
          <w:sz w:val="32"/>
          <w:szCs w:val="32"/>
          <w:highlight w:val="none"/>
          <w:u w:val="none"/>
          <w:lang w:val="en-US" w:eastAsia="zh-CN"/>
        </w:rPr>
        <w:t>图2：基本支出和项目支出情况</w:t>
      </w:r>
    </w:p>
    <w:p>
      <w:pPr>
        <w:numPr>
          <w:ilvl w:val="0"/>
          <w:numId w:val="1"/>
        </w:numPr>
        <w:spacing w:line="560" w:lineRule="exact"/>
        <w:ind w:firstLine="640" w:firstLineChars="200"/>
        <w:rPr>
          <w:rFonts w:hint="eastAsia" w:ascii="楷体_GB2312" w:hAnsi="楷体_GB2312" w:eastAsia="楷体_GB2312" w:cs="楷体_GB2312"/>
          <w:color w:val="000000"/>
          <w:sz w:val="32"/>
          <w:szCs w:val="32"/>
          <w:highlight w:val="none"/>
          <w:u w:val="none"/>
          <w:lang w:eastAsia="zh-CN"/>
        </w:rPr>
      </w:pPr>
      <w:r>
        <w:rPr>
          <w:rFonts w:hint="eastAsia" w:ascii="楷体_GB2312" w:hAnsi="楷体_GB2312" w:eastAsia="楷体_GB2312" w:cs="楷体_GB2312"/>
          <w:color w:val="000000"/>
          <w:sz w:val="32"/>
          <w:szCs w:val="32"/>
          <w:highlight w:val="none"/>
          <w:u w:val="none"/>
          <w:lang w:eastAsia="zh-CN"/>
        </w:rPr>
        <w:t>年终结转结余资金</w:t>
      </w:r>
      <w:r>
        <w:rPr>
          <w:rFonts w:hint="eastAsia" w:ascii="楷体_GB2312" w:hAnsi="楷体_GB2312" w:eastAsia="楷体_GB2312" w:cs="楷体_GB2312"/>
          <w:color w:val="000000"/>
          <w:sz w:val="32"/>
          <w:szCs w:val="32"/>
          <w:highlight w:val="none"/>
          <w:u w:val="none"/>
          <w:lang w:val="en-US" w:eastAsia="zh-CN"/>
        </w:rPr>
        <w:t>0</w:t>
      </w:r>
      <w:r>
        <w:rPr>
          <w:rFonts w:hint="eastAsia" w:ascii="楷体_GB2312" w:hAnsi="楷体_GB2312" w:eastAsia="楷体_GB2312" w:cs="楷体_GB2312"/>
          <w:color w:val="000000"/>
          <w:sz w:val="32"/>
          <w:szCs w:val="32"/>
          <w:highlight w:val="none"/>
          <w:u w:val="none"/>
          <w:lang w:eastAsia="zh-CN"/>
        </w:rPr>
        <w:t>万元</w:t>
      </w:r>
    </w:p>
    <w:p>
      <w:pPr>
        <w:spacing w:line="560" w:lineRule="exact"/>
        <w:ind w:firstLine="640" w:firstLineChars="200"/>
        <w:rPr>
          <w:rFonts w:hint="eastAsia" w:ascii="黑体" w:eastAsia="黑体"/>
          <w:color w:val="auto"/>
          <w:sz w:val="32"/>
          <w:szCs w:val="32"/>
          <w:u w:val="none"/>
        </w:rPr>
      </w:pPr>
      <w:r>
        <w:rPr>
          <w:rFonts w:hint="eastAsia" w:ascii="黑体" w:eastAsia="黑体"/>
          <w:color w:val="auto"/>
          <w:sz w:val="32"/>
          <w:szCs w:val="32"/>
          <w:u w:val="none"/>
          <w:lang w:eastAsia="zh-CN"/>
        </w:rPr>
        <w:t>四</w:t>
      </w:r>
      <w:r>
        <w:rPr>
          <w:rFonts w:hint="eastAsia" w:ascii="黑体" w:eastAsia="黑体"/>
          <w:color w:val="auto"/>
          <w:sz w:val="32"/>
          <w:szCs w:val="32"/>
          <w:u w:val="none"/>
        </w:rPr>
        <w:t>、财政拨款“三公”经费预算</w:t>
      </w:r>
      <w:r>
        <w:rPr>
          <w:rFonts w:hint="eastAsia" w:ascii="黑体" w:eastAsia="黑体"/>
          <w:color w:val="auto"/>
          <w:sz w:val="32"/>
          <w:szCs w:val="32"/>
          <w:u w:val="none"/>
          <w:lang w:eastAsia="zh-CN"/>
        </w:rPr>
        <w:t>情况</w:t>
      </w:r>
      <w:r>
        <w:rPr>
          <w:rFonts w:hint="eastAsia" w:ascii="黑体" w:eastAsia="黑体"/>
          <w:color w:val="auto"/>
          <w:sz w:val="32"/>
          <w:szCs w:val="32"/>
          <w:u w:val="none"/>
        </w:rPr>
        <w:t>说明</w:t>
      </w:r>
    </w:p>
    <w:p>
      <w:pPr>
        <w:spacing w:line="560" w:lineRule="exact"/>
        <w:rPr>
          <w:rFonts w:hint="eastAsia" w:ascii="楷体_GB2312" w:eastAsia="楷体_GB2312"/>
          <w:color w:val="auto"/>
          <w:sz w:val="32"/>
          <w:szCs w:val="32"/>
          <w:u w:val="none"/>
        </w:rPr>
      </w:pPr>
      <w:r>
        <w:rPr>
          <w:rFonts w:hint="eastAsia" w:ascii="楷体_GB2312" w:eastAsia="楷体_GB2312"/>
          <w:color w:val="auto"/>
          <w:sz w:val="32"/>
          <w:szCs w:val="32"/>
          <w:u w:val="none"/>
          <w:lang w:val="en-US" w:eastAsia="zh-CN"/>
        </w:rPr>
        <w:t xml:space="preserve">   </w:t>
      </w:r>
      <w:r>
        <w:rPr>
          <w:rFonts w:hint="eastAsia" w:ascii="楷体_GB2312" w:eastAsia="楷体_GB2312"/>
          <w:color w:val="auto"/>
          <w:sz w:val="32"/>
          <w:szCs w:val="32"/>
          <w:u w:val="none"/>
        </w:rPr>
        <w:t>（一）“三公”经费的单位范围</w:t>
      </w:r>
    </w:p>
    <w:p>
      <w:pPr>
        <w:spacing w:line="560" w:lineRule="exact"/>
        <w:rPr>
          <w:rFonts w:hint="eastAsia" w:ascii="仿宋_GB2312" w:eastAsia="仿宋_GB2312"/>
          <w:color w:val="auto"/>
          <w:sz w:val="32"/>
          <w:szCs w:val="32"/>
          <w:u w:val="none"/>
          <w:lang w:val="en-US" w:eastAsia="zh-CN"/>
        </w:rPr>
      </w:pPr>
      <w:r>
        <w:rPr>
          <w:rFonts w:hint="eastAsia" w:ascii="仿宋_GB2312" w:eastAsia="仿宋_GB2312"/>
          <w:color w:val="auto"/>
          <w:sz w:val="32"/>
          <w:szCs w:val="32"/>
          <w:u w:val="none"/>
          <w:lang w:val="en-US" w:eastAsia="zh-CN"/>
        </w:rPr>
        <w:t xml:space="preserve">    </w:t>
      </w:r>
      <w:r>
        <w:rPr>
          <w:rFonts w:hint="eastAsia" w:ascii="仿宋_GB2312" w:eastAsia="仿宋_GB2312"/>
          <w:color w:val="auto"/>
          <w:sz w:val="32"/>
          <w:szCs w:val="32"/>
          <w:u w:val="none"/>
          <w:lang w:eastAsia="zh-CN"/>
        </w:rPr>
        <w:t>北京市工艺美术高级技工学校</w:t>
      </w:r>
      <w:r>
        <w:rPr>
          <w:rFonts w:hint="eastAsia" w:ascii="仿宋_GB2312" w:eastAsia="仿宋_GB2312"/>
          <w:color w:val="auto"/>
          <w:sz w:val="32"/>
          <w:szCs w:val="32"/>
          <w:u w:val="none"/>
        </w:rPr>
        <w:t>因公出国（境）费用、公务接待费、公务用车购置和运行维护费开支单位包括</w:t>
      </w:r>
      <w:r>
        <w:rPr>
          <w:rFonts w:hint="eastAsia" w:ascii="仿宋_GB2312" w:eastAsia="仿宋_GB2312"/>
          <w:color w:val="auto"/>
          <w:sz w:val="32"/>
          <w:szCs w:val="32"/>
          <w:u w:val="none"/>
          <w:lang w:eastAsia="zh-CN"/>
        </w:rPr>
        <w:t>北京市工艺美术高级技工学校</w:t>
      </w:r>
      <w:r>
        <w:rPr>
          <w:rFonts w:hint="eastAsia" w:ascii="仿宋_GB2312" w:eastAsia="仿宋_GB2312"/>
          <w:color w:val="auto"/>
          <w:sz w:val="32"/>
          <w:szCs w:val="32"/>
          <w:u w:val="none"/>
          <w:lang w:val="en-US" w:eastAsia="zh-CN"/>
        </w:rPr>
        <w:t>1</w:t>
      </w:r>
      <w:r>
        <w:rPr>
          <w:rFonts w:hint="eastAsia" w:ascii="仿宋_GB2312" w:eastAsia="仿宋_GB2312"/>
          <w:color w:val="auto"/>
          <w:sz w:val="32"/>
          <w:szCs w:val="32"/>
          <w:u w:val="none"/>
        </w:rPr>
        <w:t>个所属单位。</w:t>
      </w:r>
      <w:r>
        <w:rPr>
          <w:rFonts w:hint="eastAsia" w:ascii="仿宋_GB2312" w:eastAsia="仿宋_GB2312"/>
          <w:color w:val="auto"/>
          <w:sz w:val="32"/>
          <w:szCs w:val="32"/>
          <w:u w:val="none"/>
          <w:lang w:val="en-US" w:eastAsia="zh-CN"/>
        </w:rPr>
        <w:t xml:space="preserve"> </w:t>
      </w:r>
    </w:p>
    <w:p>
      <w:pPr>
        <w:spacing w:line="560" w:lineRule="exact"/>
        <w:ind w:firstLine="640" w:firstLineChars="200"/>
        <w:rPr>
          <w:rFonts w:hint="eastAsia" w:ascii="楷体_GB2312" w:eastAsia="楷体_GB2312" w:cs="Droid Sans"/>
          <w:color w:val="auto"/>
          <w:sz w:val="32"/>
          <w:szCs w:val="32"/>
          <w:u w:val="none"/>
        </w:rPr>
      </w:pPr>
      <w:r>
        <w:rPr>
          <w:rFonts w:hint="eastAsia" w:ascii="楷体_GB2312" w:eastAsia="楷体_GB2312"/>
          <w:color w:val="auto"/>
          <w:sz w:val="32"/>
          <w:szCs w:val="32"/>
          <w:u w:val="none"/>
        </w:rPr>
        <w:t>（二）财政拨款“三公”经费预算情况说明</w:t>
      </w:r>
      <w:r>
        <w:rPr>
          <w:rFonts w:hint="eastAsia" w:ascii="楷体_GB2312" w:eastAsia="楷体_GB2312" w:cs="Droid Sans"/>
          <w:color w:val="auto"/>
          <w:sz w:val="32"/>
          <w:szCs w:val="32"/>
          <w:u w:val="none"/>
          <w:lang w:val="en-US" w:eastAsia="zh-CN"/>
        </w:rPr>
        <w:t xml:space="preserve"> </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2024年</w:t>
      </w:r>
      <w:r>
        <w:rPr>
          <w:rFonts w:hint="eastAsia" w:ascii="仿宋_GB2312" w:eastAsia="仿宋_GB2312"/>
          <w:color w:val="auto"/>
          <w:sz w:val="32"/>
          <w:szCs w:val="32"/>
          <w:u w:val="none"/>
        </w:rPr>
        <w:t>财政拨款“三公”经费预算</w:t>
      </w:r>
      <w:r>
        <w:rPr>
          <w:rFonts w:hint="eastAsia" w:ascii="仿宋_GB2312" w:eastAsia="仿宋_GB2312"/>
          <w:color w:val="auto"/>
          <w:sz w:val="32"/>
          <w:szCs w:val="32"/>
          <w:u w:val="none"/>
          <w:lang w:val="en-US" w:eastAsia="zh-CN"/>
        </w:rPr>
        <w:t>19.3</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与2023年</w:t>
      </w:r>
      <w:r>
        <w:rPr>
          <w:rFonts w:hint="eastAsia" w:ascii="仿宋_GB2312" w:eastAsia="仿宋_GB2312"/>
          <w:color w:val="auto"/>
          <w:sz w:val="32"/>
          <w:szCs w:val="32"/>
          <w:u w:val="none"/>
        </w:rPr>
        <w:t>财政拨款“三公”经费预算</w:t>
      </w:r>
      <w:r>
        <w:rPr>
          <w:rFonts w:hint="eastAsia" w:ascii="仿宋_GB2312" w:eastAsia="仿宋_GB2312"/>
          <w:color w:val="auto"/>
          <w:sz w:val="32"/>
          <w:szCs w:val="32"/>
          <w:u w:val="none"/>
          <w:lang w:eastAsia="zh-CN"/>
        </w:rPr>
        <w:t>持平</w:t>
      </w:r>
      <w:r>
        <w:rPr>
          <w:rFonts w:hint="eastAsia" w:ascii="仿宋_GB2312" w:eastAsia="仿宋_GB2312"/>
          <w:color w:val="auto"/>
          <w:sz w:val="32"/>
          <w:szCs w:val="32"/>
          <w:u w:val="none"/>
        </w:rPr>
        <w:t>。其中：</w:t>
      </w:r>
    </w:p>
    <w:p>
      <w:pPr>
        <w:numPr>
          <w:ilvl w:val="0"/>
          <w:numId w:val="0"/>
        </w:numPr>
        <w:spacing w:line="560" w:lineRule="exact"/>
        <w:rPr>
          <w:rFonts w:hint="eastAsia" w:ascii="仿宋_GB2312" w:eastAsia="仿宋_GB2312"/>
          <w:color w:val="auto"/>
          <w:sz w:val="32"/>
          <w:szCs w:val="32"/>
          <w:u w:val="none"/>
          <w:lang w:val="en-US" w:eastAsia="zh-CN"/>
        </w:rPr>
      </w:pPr>
      <w:r>
        <w:rPr>
          <w:rFonts w:hint="eastAsia" w:ascii="仿宋_GB2312" w:eastAsia="仿宋_GB2312"/>
          <w:color w:val="auto"/>
          <w:sz w:val="32"/>
          <w:szCs w:val="32"/>
          <w:u w:val="none"/>
          <w:lang w:val="en-US" w:eastAsia="zh-CN"/>
        </w:rPr>
        <w:t xml:space="preserve">   1.</w:t>
      </w:r>
      <w:r>
        <w:rPr>
          <w:rFonts w:hint="eastAsia" w:ascii="仿宋_GB2312" w:eastAsia="仿宋_GB2312"/>
          <w:color w:val="auto"/>
          <w:sz w:val="32"/>
          <w:szCs w:val="32"/>
          <w:u w:val="none"/>
        </w:rPr>
        <w:t>因公出国（境）费用。</w:t>
      </w:r>
      <w:r>
        <w:rPr>
          <w:rFonts w:hint="eastAsia" w:ascii="仿宋_GB2312" w:eastAsia="仿宋_GB2312"/>
          <w:color w:val="auto"/>
          <w:sz w:val="32"/>
          <w:szCs w:val="32"/>
          <w:u w:val="none"/>
          <w:lang w:eastAsia="zh-CN"/>
        </w:rPr>
        <w:t>2024年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0</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与2023年年初</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持平。</w:t>
      </w:r>
      <w:r>
        <w:rPr>
          <w:rFonts w:hint="eastAsia" w:ascii="仿宋_GB2312" w:eastAsia="仿宋_GB2312"/>
          <w:color w:val="auto"/>
          <w:sz w:val="32"/>
          <w:szCs w:val="32"/>
          <w:u w:val="none"/>
          <w:lang w:val="en-US" w:eastAsia="zh-CN"/>
        </w:rPr>
        <w:t xml:space="preserve"> </w:t>
      </w:r>
    </w:p>
    <w:p>
      <w:pPr>
        <w:rPr>
          <w:rFonts w:hint="eastAsia" w:ascii="仿宋_GB2312" w:eastAsia="仿宋_GB2312"/>
          <w:color w:val="auto"/>
          <w:sz w:val="32"/>
          <w:szCs w:val="32"/>
          <w:u w:val="none"/>
          <w:lang w:val="en-US"/>
        </w:rPr>
      </w:pPr>
      <w:r>
        <w:rPr>
          <w:rFonts w:hint="eastAsia" w:ascii="仿宋_GB2312" w:eastAsia="仿宋_GB2312"/>
          <w:color w:val="auto"/>
          <w:sz w:val="32"/>
          <w:szCs w:val="32"/>
          <w:u w:val="none"/>
          <w:lang w:val="en-US" w:eastAsia="zh-CN"/>
        </w:rPr>
        <w:t xml:space="preserve">   </w:t>
      </w:r>
      <w:r>
        <w:rPr>
          <w:rFonts w:hint="eastAsia" w:ascii="仿宋_GB2312" w:eastAsia="仿宋_GB2312"/>
          <w:color w:val="auto"/>
          <w:sz w:val="32"/>
          <w:szCs w:val="32"/>
          <w:u w:val="none"/>
        </w:rPr>
        <w:t>2.公务接待费。</w:t>
      </w:r>
      <w:r>
        <w:rPr>
          <w:rFonts w:hint="eastAsia" w:ascii="仿宋_GB2312" w:eastAsia="仿宋_GB2312"/>
          <w:color w:val="auto"/>
          <w:sz w:val="32"/>
          <w:szCs w:val="32"/>
          <w:u w:val="none"/>
          <w:lang w:eastAsia="zh-CN"/>
        </w:rPr>
        <w:t>2024年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0.6</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与2023年年初</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持平，</w:t>
      </w:r>
      <w:r>
        <w:rPr>
          <w:rFonts w:hint="eastAsia" w:ascii="仿宋_GB2312" w:hAnsi="Times New Roman" w:eastAsia="仿宋_GB2312"/>
          <w:sz w:val="32"/>
          <w:szCs w:val="32"/>
        </w:rPr>
        <w:t>2024年公务接待费主要用于校企合作交流活动等方面。</w:t>
      </w:r>
    </w:p>
    <w:p>
      <w:pPr>
        <w:spacing w:line="540" w:lineRule="exact"/>
        <w:rPr>
          <w:rFonts w:hint="eastAsia" w:ascii="仿宋_GB2312" w:eastAsia="仿宋_GB2312"/>
          <w:color w:val="auto"/>
          <w:sz w:val="32"/>
          <w:szCs w:val="32"/>
          <w:u w:val="none"/>
        </w:rPr>
      </w:pPr>
      <w:r>
        <w:rPr>
          <w:rFonts w:hint="eastAsia" w:ascii="仿宋_GB2312" w:eastAsia="仿宋_GB2312"/>
          <w:color w:val="auto"/>
          <w:sz w:val="32"/>
          <w:szCs w:val="32"/>
          <w:u w:val="none"/>
          <w:lang w:val="en-US" w:eastAsia="zh-CN"/>
        </w:rPr>
        <w:t xml:space="preserve">   </w:t>
      </w:r>
      <w:r>
        <w:rPr>
          <w:rFonts w:hint="eastAsia" w:ascii="仿宋_GB2312" w:eastAsia="仿宋_GB2312"/>
          <w:color w:val="auto"/>
          <w:sz w:val="32"/>
          <w:szCs w:val="32"/>
          <w:u w:val="none"/>
        </w:rPr>
        <w:t>3.公务用车购置和运行维护费。</w:t>
      </w:r>
      <w:r>
        <w:rPr>
          <w:rFonts w:hint="eastAsia" w:ascii="仿宋_GB2312" w:eastAsia="仿宋_GB2312"/>
          <w:color w:val="auto"/>
          <w:sz w:val="32"/>
          <w:szCs w:val="32"/>
          <w:u w:val="none"/>
          <w:lang w:eastAsia="zh-CN"/>
        </w:rPr>
        <w:t>2024年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18.7</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包括：</w:t>
      </w:r>
      <w:r>
        <w:rPr>
          <w:rFonts w:hint="eastAsia" w:ascii="仿宋_GB2312" w:eastAsia="仿宋_GB2312"/>
          <w:color w:val="auto"/>
          <w:sz w:val="32"/>
          <w:szCs w:val="32"/>
          <w:u w:val="none"/>
        </w:rPr>
        <w:t>公务用车购置费</w:t>
      </w:r>
      <w:r>
        <w:rPr>
          <w:rFonts w:hint="eastAsia" w:ascii="仿宋_GB2312" w:eastAsia="仿宋_GB2312"/>
          <w:color w:val="auto"/>
          <w:sz w:val="32"/>
          <w:szCs w:val="32"/>
          <w:u w:val="none"/>
          <w:lang w:eastAsia="zh-CN"/>
        </w:rPr>
        <w:t>2024年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0</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与2023年年初</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持平</w:t>
      </w:r>
      <w:r>
        <w:rPr>
          <w:rFonts w:hint="eastAsia" w:ascii="仿宋_GB2312" w:eastAsia="仿宋_GB2312"/>
          <w:color w:val="auto"/>
          <w:sz w:val="32"/>
          <w:szCs w:val="32"/>
          <w:u w:val="none"/>
        </w:rPr>
        <w:t>；公务用车运行维护费</w:t>
      </w:r>
      <w:r>
        <w:rPr>
          <w:rFonts w:hint="eastAsia" w:ascii="仿宋_GB2312" w:eastAsia="仿宋_GB2312"/>
          <w:color w:val="auto"/>
          <w:sz w:val="32"/>
          <w:szCs w:val="32"/>
          <w:u w:val="none"/>
          <w:lang w:eastAsia="zh-CN"/>
        </w:rPr>
        <w:t>2024年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18.7</w:t>
      </w:r>
      <w:r>
        <w:rPr>
          <w:rFonts w:hint="eastAsia" w:ascii="仿宋_GB2312" w:eastAsia="仿宋_GB2312"/>
          <w:color w:val="auto"/>
          <w:sz w:val="32"/>
          <w:szCs w:val="32"/>
          <w:u w:val="none"/>
        </w:rPr>
        <w:t>万元，其中：公务用车燃油</w:t>
      </w:r>
      <w:r>
        <w:rPr>
          <w:rFonts w:hint="eastAsia" w:ascii="仿宋_GB2312" w:eastAsia="仿宋_GB2312"/>
          <w:color w:val="auto"/>
          <w:sz w:val="32"/>
          <w:szCs w:val="32"/>
          <w:u w:val="none"/>
          <w:lang w:val="en-US" w:eastAsia="zh-CN"/>
        </w:rPr>
        <w:t>9</w:t>
      </w:r>
      <w:r>
        <w:rPr>
          <w:rFonts w:hint="eastAsia" w:ascii="仿宋_GB2312" w:eastAsia="仿宋_GB2312"/>
          <w:color w:val="auto"/>
          <w:sz w:val="32"/>
          <w:szCs w:val="32"/>
          <w:u w:val="none"/>
        </w:rPr>
        <w:t>万元，公务用车维修</w:t>
      </w:r>
      <w:r>
        <w:rPr>
          <w:rFonts w:hint="eastAsia" w:ascii="仿宋_GB2312" w:eastAsia="仿宋_GB2312"/>
          <w:color w:val="auto"/>
          <w:sz w:val="32"/>
          <w:szCs w:val="32"/>
          <w:u w:val="none"/>
          <w:lang w:val="en-US" w:eastAsia="zh-CN"/>
        </w:rPr>
        <w:t>5.5</w:t>
      </w:r>
      <w:r>
        <w:rPr>
          <w:rFonts w:hint="eastAsia" w:ascii="仿宋_GB2312" w:eastAsia="仿宋_GB2312"/>
          <w:color w:val="auto"/>
          <w:sz w:val="32"/>
          <w:szCs w:val="32"/>
          <w:u w:val="none"/>
        </w:rPr>
        <w:t>万元，公务用车保险</w:t>
      </w:r>
      <w:r>
        <w:rPr>
          <w:rFonts w:hint="eastAsia" w:ascii="仿宋_GB2312" w:eastAsia="仿宋_GB2312"/>
          <w:color w:val="auto"/>
          <w:sz w:val="32"/>
          <w:szCs w:val="32"/>
          <w:u w:val="none"/>
          <w:lang w:val="en-US" w:eastAsia="zh-CN"/>
        </w:rPr>
        <w:t>3</w:t>
      </w:r>
      <w:r>
        <w:rPr>
          <w:rFonts w:hint="eastAsia" w:ascii="仿宋_GB2312" w:eastAsia="仿宋_GB2312"/>
          <w:color w:val="auto"/>
          <w:sz w:val="32"/>
          <w:szCs w:val="32"/>
          <w:u w:val="none"/>
        </w:rPr>
        <w:t>万元，其他支出</w:t>
      </w:r>
      <w:r>
        <w:rPr>
          <w:rFonts w:hint="eastAsia" w:ascii="仿宋_GB2312" w:eastAsia="仿宋_GB2312"/>
          <w:color w:val="auto"/>
          <w:sz w:val="32"/>
          <w:szCs w:val="32"/>
          <w:u w:val="none"/>
          <w:lang w:val="en-US" w:eastAsia="zh-CN"/>
        </w:rPr>
        <w:t>1.2</w:t>
      </w:r>
      <w:r>
        <w:rPr>
          <w:rFonts w:hint="eastAsia" w:ascii="仿宋_GB2312" w:eastAsia="仿宋_GB2312"/>
          <w:color w:val="auto"/>
          <w:sz w:val="32"/>
          <w:szCs w:val="32"/>
          <w:u w:val="none"/>
        </w:rPr>
        <w:t>万元。公务用车运行维护费</w:t>
      </w:r>
      <w:r>
        <w:rPr>
          <w:rFonts w:hint="eastAsia" w:ascii="仿宋_GB2312" w:eastAsia="仿宋_GB2312"/>
          <w:color w:val="auto"/>
          <w:sz w:val="32"/>
          <w:szCs w:val="32"/>
          <w:u w:val="none"/>
          <w:lang w:eastAsia="zh-CN"/>
        </w:rPr>
        <w:t>2024年预算数与2023年年初</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18.7</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持平。</w:t>
      </w:r>
    </w:p>
    <w:p>
      <w:pPr>
        <w:spacing w:line="560" w:lineRule="exact"/>
        <w:ind w:firstLine="640" w:firstLineChars="200"/>
        <w:rPr>
          <w:rFonts w:hint="eastAsia" w:ascii="黑体" w:eastAsia="黑体"/>
          <w:color w:val="auto"/>
          <w:sz w:val="32"/>
          <w:szCs w:val="32"/>
          <w:u w:val="none"/>
        </w:rPr>
      </w:pPr>
      <w:r>
        <w:rPr>
          <w:rFonts w:hint="eastAsia" w:ascii="黑体" w:eastAsia="黑体"/>
          <w:color w:val="auto"/>
          <w:sz w:val="32"/>
          <w:szCs w:val="32"/>
          <w:u w:val="none"/>
          <w:lang w:eastAsia="zh-CN"/>
        </w:rPr>
        <w:t>五</w:t>
      </w:r>
      <w:r>
        <w:rPr>
          <w:rFonts w:hint="eastAsia" w:ascii="黑体" w:eastAsia="黑体"/>
          <w:color w:val="auto"/>
          <w:sz w:val="32"/>
          <w:szCs w:val="32"/>
          <w:u w:val="none"/>
        </w:rPr>
        <w:t>、其他情况说明</w:t>
      </w:r>
    </w:p>
    <w:p>
      <w:pPr>
        <w:spacing w:line="560" w:lineRule="exact"/>
        <w:rPr>
          <w:rFonts w:hint="eastAsia" w:ascii="楷体_GB2312" w:eastAsia="楷体_GB2312"/>
          <w:color w:val="auto"/>
          <w:sz w:val="32"/>
          <w:szCs w:val="32"/>
          <w:u w:val="none"/>
        </w:rPr>
      </w:pPr>
      <w:r>
        <w:rPr>
          <w:rFonts w:hint="eastAsia" w:ascii="楷体_GB2312" w:eastAsia="楷体_GB2312"/>
          <w:color w:val="auto"/>
          <w:sz w:val="32"/>
          <w:szCs w:val="32"/>
          <w:u w:val="none"/>
          <w:lang w:val="en-US" w:eastAsia="zh-CN"/>
        </w:rPr>
        <w:t xml:space="preserve">   </w:t>
      </w:r>
      <w:r>
        <w:rPr>
          <w:rFonts w:hint="eastAsia" w:ascii="楷体_GB2312" w:eastAsia="楷体_GB2312"/>
          <w:color w:val="auto"/>
          <w:sz w:val="32"/>
          <w:szCs w:val="32"/>
          <w:u w:val="none"/>
        </w:rPr>
        <w:t>（一）政府采购预算说明</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2024年北京市工艺美术高级技工学校</w:t>
      </w:r>
      <w:r>
        <w:rPr>
          <w:rFonts w:hint="eastAsia" w:ascii="仿宋_GB2312" w:eastAsia="仿宋_GB2312"/>
          <w:color w:val="auto"/>
          <w:sz w:val="32"/>
          <w:szCs w:val="32"/>
          <w:u w:val="none"/>
        </w:rPr>
        <w:t>政府采购预算总额</w:t>
      </w:r>
      <w:r>
        <w:rPr>
          <w:rFonts w:hint="eastAsia" w:ascii="仿宋_GB2312" w:eastAsia="仿宋_GB2312"/>
          <w:color w:val="auto"/>
          <w:sz w:val="32"/>
          <w:szCs w:val="32"/>
          <w:u w:val="none"/>
          <w:lang w:val="en-US" w:eastAsia="zh-CN"/>
        </w:rPr>
        <w:t>300.87</w:t>
      </w:r>
      <w:r>
        <w:rPr>
          <w:rFonts w:hint="eastAsia" w:ascii="仿宋_GB2312" w:eastAsia="仿宋_GB2312"/>
          <w:color w:val="auto"/>
          <w:sz w:val="32"/>
          <w:szCs w:val="32"/>
          <w:u w:val="none"/>
        </w:rPr>
        <w:t>万元，其中：政府采购货物预算</w:t>
      </w:r>
      <w:r>
        <w:rPr>
          <w:rFonts w:hint="eastAsia" w:ascii="仿宋_GB2312" w:eastAsia="仿宋_GB2312"/>
          <w:color w:val="auto"/>
          <w:sz w:val="32"/>
          <w:szCs w:val="32"/>
          <w:u w:val="none"/>
          <w:lang w:val="en-US" w:eastAsia="zh-CN"/>
        </w:rPr>
        <w:t>300.87</w:t>
      </w:r>
      <w:r>
        <w:rPr>
          <w:rFonts w:hint="eastAsia" w:ascii="仿宋_GB2312" w:eastAsia="仿宋_GB2312"/>
          <w:color w:val="auto"/>
          <w:sz w:val="32"/>
          <w:szCs w:val="32"/>
          <w:u w:val="none"/>
        </w:rPr>
        <w:t>万元，政府采购工程预算</w:t>
      </w:r>
      <w:r>
        <w:rPr>
          <w:rFonts w:hint="eastAsia" w:ascii="仿宋_GB2312" w:eastAsia="仿宋_GB2312"/>
          <w:color w:val="auto"/>
          <w:sz w:val="32"/>
          <w:szCs w:val="32"/>
          <w:u w:val="none"/>
          <w:lang w:val="en-US" w:eastAsia="zh-CN"/>
        </w:rPr>
        <w:t>0</w:t>
      </w:r>
      <w:r>
        <w:rPr>
          <w:rFonts w:hint="eastAsia" w:ascii="仿宋_GB2312" w:eastAsia="仿宋_GB2312"/>
          <w:color w:val="auto"/>
          <w:sz w:val="32"/>
          <w:szCs w:val="32"/>
          <w:u w:val="none"/>
        </w:rPr>
        <w:t>万元，政府采购服务预算</w:t>
      </w:r>
      <w:r>
        <w:rPr>
          <w:rFonts w:hint="eastAsia" w:ascii="仿宋_GB2312" w:eastAsia="仿宋_GB2312"/>
          <w:color w:val="auto"/>
          <w:sz w:val="32"/>
          <w:szCs w:val="32"/>
          <w:u w:val="none"/>
          <w:lang w:val="en-US" w:eastAsia="zh-CN"/>
        </w:rPr>
        <w:t>0</w:t>
      </w:r>
      <w:r>
        <w:rPr>
          <w:rFonts w:hint="eastAsia" w:ascii="仿宋_GB2312" w:eastAsia="仿宋_GB2312"/>
          <w:color w:val="auto"/>
          <w:sz w:val="32"/>
          <w:szCs w:val="32"/>
          <w:u w:val="none"/>
        </w:rPr>
        <w:t>万元。</w:t>
      </w:r>
    </w:p>
    <w:p>
      <w:pPr>
        <w:spacing w:line="560" w:lineRule="exact"/>
        <w:rPr>
          <w:rFonts w:hint="eastAsia" w:ascii="楷体_GB2312" w:eastAsia="楷体_GB2312"/>
          <w:color w:val="auto"/>
          <w:sz w:val="32"/>
          <w:szCs w:val="32"/>
          <w:u w:val="none"/>
        </w:rPr>
      </w:pPr>
      <w:r>
        <w:rPr>
          <w:rFonts w:hint="eastAsia" w:ascii="楷体_GB2312" w:eastAsia="楷体_GB2312"/>
          <w:color w:val="auto"/>
          <w:sz w:val="32"/>
          <w:szCs w:val="32"/>
          <w:u w:val="none"/>
          <w:lang w:val="en-US" w:eastAsia="zh-CN"/>
        </w:rPr>
        <w:t xml:space="preserve">   </w:t>
      </w:r>
      <w:r>
        <w:rPr>
          <w:rFonts w:hint="eastAsia" w:ascii="楷体_GB2312" w:eastAsia="楷体_GB2312"/>
          <w:color w:val="auto"/>
          <w:sz w:val="32"/>
          <w:szCs w:val="32"/>
          <w:u w:val="none"/>
        </w:rPr>
        <w:t>（二）政府购买服务预算说明</w:t>
      </w:r>
    </w:p>
    <w:p>
      <w:pPr>
        <w:spacing w:line="560" w:lineRule="exact"/>
        <w:ind w:firstLine="640" w:firstLineChars="200"/>
        <w:rPr>
          <w:rFonts w:hint="eastAsia" w:ascii="仿宋_GB2312" w:hAnsi="Times New Roman" w:eastAsia="仿宋_GB2312"/>
          <w:sz w:val="32"/>
          <w:szCs w:val="32"/>
        </w:rPr>
      </w:pPr>
      <w:r>
        <w:rPr>
          <w:rFonts w:hint="eastAsia" w:ascii="仿宋_GB2312" w:hAnsi="Times New Roman" w:eastAsia="仿宋_GB2312"/>
          <w:sz w:val="32"/>
          <w:szCs w:val="32"/>
          <w:lang w:eastAsia="zh-CN"/>
        </w:rPr>
        <w:t>本单位</w:t>
      </w:r>
      <w:r>
        <w:rPr>
          <w:rFonts w:hint="eastAsia" w:ascii="仿宋_GB2312" w:hAnsi="Times New Roman" w:eastAsia="仿宋_GB2312"/>
          <w:sz w:val="32"/>
          <w:szCs w:val="32"/>
        </w:rPr>
        <w:t>2024年政府购买服务预算总额0万元。</w:t>
      </w:r>
    </w:p>
    <w:p>
      <w:pPr>
        <w:spacing w:line="560" w:lineRule="exact"/>
        <w:rPr>
          <w:rFonts w:hint="eastAsia" w:ascii="楷体_GB2312" w:eastAsia="楷体_GB2312"/>
          <w:color w:val="auto"/>
          <w:sz w:val="32"/>
          <w:szCs w:val="32"/>
          <w:u w:val="none"/>
        </w:rPr>
      </w:pPr>
      <w:r>
        <w:rPr>
          <w:rFonts w:hint="eastAsia" w:ascii="楷体_GB2312" w:eastAsia="楷体_GB2312"/>
          <w:color w:val="auto"/>
          <w:sz w:val="32"/>
          <w:szCs w:val="32"/>
          <w:u w:val="none"/>
          <w:lang w:val="en-US" w:eastAsia="zh-CN"/>
        </w:rPr>
        <w:t xml:space="preserve">   </w:t>
      </w:r>
      <w:r>
        <w:rPr>
          <w:rFonts w:hint="eastAsia" w:ascii="楷体_GB2312" w:eastAsia="楷体_GB2312"/>
          <w:color w:val="auto"/>
          <w:sz w:val="32"/>
          <w:szCs w:val="32"/>
          <w:u w:val="none"/>
        </w:rPr>
        <w:t>（三）机关运行经费说明</w:t>
      </w:r>
    </w:p>
    <w:p>
      <w:pPr>
        <w:spacing w:line="560" w:lineRule="exact"/>
        <w:ind w:firstLine="640" w:firstLineChars="200"/>
        <w:rPr>
          <w:rFonts w:hint="eastAsia" w:ascii="仿宋_GB2312" w:eastAsia="仿宋_GB2312"/>
          <w:color w:val="auto"/>
          <w:sz w:val="32"/>
          <w:szCs w:val="32"/>
          <w:u w:val="none"/>
        </w:rPr>
      </w:pPr>
      <w:r>
        <w:rPr>
          <w:rFonts w:hint="eastAsia" w:ascii="仿宋_GB2312" w:hAnsi="Times New Roman" w:eastAsia="仿宋_GB2312"/>
          <w:sz w:val="32"/>
          <w:szCs w:val="32"/>
        </w:rPr>
        <w:t>本单位2024年无机关运行经费预算。</w:t>
      </w:r>
    </w:p>
    <w:p>
      <w:pPr>
        <w:spacing w:line="560" w:lineRule="exact"/>
        <w:rPr>
          <w:rFonts w:hint="eastAsia" w:ascii="楷体_GB2312" w:eastAsia="楷体_GB2312"/>
          <w:color w:val="auto"/>
          <w:sz w:val="32"/>
          <w:szCs w:val="32"/>
          <w:u w:val="none"/>
        </w:rPr>
      </w:pPr>
      <w:r>
        <w:rPr>
          <w:rFonts w:hint="eastAsia" w:ascii="楷体_GB2312" w:eastAsia="楷体_GB2312"/>
          <w:color w:val="auto"/>
          <w:sz w:val="32"/>
          <w:szCs w:val="32"/>
          <w:u w:val="none"/>
          <w:lang w:val="en-US" w:eastAsia="zh-CN"/>
        </w:rPr>
        <w:t xml:space="preserve">   </w:t>
      </w:r>
      <w:r>
        <w:rPr>
          <w:rFonts w:hint="eastAsia" w:ascii="楷体_GB2312" w:eastAsia="楷体_GB2312"/>
          <w:color w:val="auto"/>
          <w:sz w:val="32"/>
          <w:szCs w:val="32"/>
          <w:u w:val="none"/>
        </w:rPr>
        <w:t>（四）项目支出绩效目标情况说明</w:t>
      </w:r>
    </w:p>
    <w:p>
      <w:pPr>
        <w:spacing w:line="560" w:lineRule="exact"/>
        <w:ind w:firstLine="640" w:firstLineChars="200"/>
        <w:rPr>
          <w:rFonts w:hint="eastAsia" w:ascii="楷体_GB2312" w:eastAsia="楷体_GB2312" w:cs="楷体_GB2312"/>
          <w:color w:val="auto"/>
          <w:sz w:val="32"/>
          <w:szCs w:val="32"/>
          <w:u w:val="none"/>
          <w:lang w:val="en-US" w:eastAsia="zh-CN"/>
        </w:rPr>
      </w:pPr>
      <w:r>
        <w:rPr>
          <w:rFonts w:hint="eastAsia" w:ascii="仿宋_GB2312" w:eastAsia="仿宋_GB2312"/>
          <w:color w:val="auto"/>
          <w:sz w:val="32"/>
          <w:szCs w:val="32"/>
          <w:u w:val="none"/>
          <w:lang w:eastAsia="zh-CN"/>
        </w:rPr>
        <w:t>2024年</w:t>
      </w:r>
      <w:r>
        <w:rPr>
          <w:rFonts w:hint="eastAsia" w:ascii="仿宋_GB2312" w:eastAsia="仿宋_GB2312"/>
          <w:color w:val="auto"/>
          <w:sz w:val="32"/>
          <w:szCs w:val="32"/>
          <w:u w:val="none"/>
        </w:rPr>
        <w:t>，</w:t>
      </w:r>
      <w:r>
        <w:rPr>
          <w:rFonts w:hint="eastAsia" w:ascii="仿宋_GB2312" w:eastAsia="仿宋_GB2312"/>
          <w:color w:val="auto"/>
          <w:sz w:val="32"/>
          <w:szCs w:val="32"/>
          <w:u w:val="none"/>
          <w:lang w:eastAsia="zh-CN"/>
        </w:rPr>
        <w:t>北京市工艺美术高级技工学校</w:t>
      </w:r>
      <w:r>
        <w:rPr>
          <w:rFonts w:hint="eastAsia" w:ascii="仿宋_GB2312" w:eastAsia="仿宋_GB2312"/>
          <w:color w:val="auto"/>
          <w:sz w:val="32"/>
          <w:szCs w:val="32"/>
          <w:u w:val="none"/>
        </w:rPr>
        <w:t>填报绩效目标的预算项目</w:t>
      </w:r>
      <w:r>
        <w:rPr>
          <w:rFonts w:hint="eastAsia" w:ascii="仿宋_GB2312" w:eastAsia="仿宋_GB2312"/>
          <w:color w:val="auto"/>
          <w:sz w:val="32"/>
          <w:szCs w:val="32"/>
          <w:u w:val="none"/>
          <w:lang w:val="en-US" w:eastAsia="zh-CN"/>
        </w:rPr>
        <w:t>15</w:t>
      </w:r>
      <w:r>
        <w:rPr>
          <w:rFonts w:hint="eastAsia" w:ascii="仿宋_GB2312" w:eastAsia="仿宋_GB2312"/>
          <w:color w:val="auto"/>
          <w:sz w:val="32"/>
          <w:szCs w:val="32"/>
          <w:u w:val="none"/>
        </w:rPr>
        <w:t>个，占本</w:t>
      </w:r>
      <w:r>
        <w:rPr>
          <w:rFonts w:hint="eastAsia" w:ascii="仿宋_GB2312" w:eastAsia="仿宋_GB2312"/>
          <w:color w:val="auto"/>
          <w:sz w:val="32"/>
          <w:szCs w:val="32"/>
          <w:u w:val="none"/>
          <w:lang w:eastAsia="zh-CN"/>
        </w:rPr>
        <w:t>单位</w:t>
      </w:r>
      <w:r>
        <w:rPr>
          <w:rFonts w:hint="eastAsia" w:ascii="仿宋_GB2312" w:eastAsia="仿宋_GB2312"/>
          <w:color w:val="auto"/>
          <w:sz w:val="32"/>
          <w:szCs w:val="32"/>
          <w:u w:val="none"/>
        </w:rPr>
        <w:t>本年预算项目</w:t>
      </w:r>
      <w:r>
        <w:rPr>
          <w:rFonts w:hint="eastAsia" w:ascii="仿宋_GB2312" w:eastAsia="仿宋_GB2312"/>
          <w:color w:val="auto"/>
          <w:sz w:val="32"/>
          <w:szCs w:val="32"/>
          <w:u w:val="none"/>
          <w:lang w:val="en-US" w:eastAsia="zh-CN"/>
        </w:rPr>
        <w:t>15</w:t>
      </w:r>
      <w:r>
        <w:rPr>
          <w:rFonts w:hint="eastAsia" w:ascii="仿宋_GB2312" w:eastAsia="仿宋_GB2312"/>
          <w:color w:val="auto"/>
          <w:sz w:val="32"/>
          <w:szCs w:val="32"/>
          <w:u w:val="none"/>
        </w:rPr>
        <w:t>个的</w:t>
      </w:r>
      <w:r>
        <w:rPr>
          <w:rFonts w:hint="eastAsia" w:ascii="仿宋_GB2312" w:eastAsia="仿宋_GB2312"/>
          <w:color w:val="auto"/>
          <w:sz w:val="32"/>
          <w:szCs w:val="32"/>
          <w:u w:val="none"/>
          <w:lang w:val="en-US" w:eastAsia="zh-CN"/>
        </w:rPr>
        <w:t>100</w:t>
      </w:r>
      <w:r>
        <w:rPr>
          <w:rFonts w:hint="eastAsia" w:ascii="仿宋_GB2312" w:eastAsia="仿宋_GB2312"/>
          <w:color w:val="auto"/>
          <w:sz w:val="32"/>
          <w:szCs w:val="32"/>
          <w:u w:val="none"/>
        </w:rPr>
        <w:t>%。填报绩效目标的项目支出预算</w:t>
      </w:r>
      <w:r>
        <w:rPr>
          <w:rFonts w:hint="eastAsia" w:ascii="仿宋_GB2312" w:eastAsia="仿宋_GB2312"/>
          <w:color w:val="auto"/>
          <w:sz w:val="32"/>
          <w:szCs w:val="32"/>
          <w:u w:val="none"/>
          <w:lang w:val="en-US" w:eastAsia="zh-CN"/>
        </w:rPr>
        <w:t>2234.05</w:t>
      </w:r>
      <w:r>
        <w:rPr>
          <w:rFonts w:hint="eastAsia" w:ascii="仿宋_GB2312" w:eastAsia="仿宋_GB2312"/>
          <w:color w:val="auto"/>
          <w:sz w:val="32"/>
          <w:szCs w:val="32"/>
          <w:u w:val="none"/>
        </w:rPr>
        <w:t>万元，占本</w:t>
      </w:r>
      <w:r>
        <w:rPr>
          <w:rFonts w:hint="eastAsia" w:ascii="仿宋_GB2312" w:eastAsia="仿宋_GB2312"/>
          <w:color w:val="auto"/>
          <w:sz w:val="32"/>
          <w:szCs w:val="32"/>
          <w:u w:val="none"/>
          <w:lang w:eastAsia="zh-CN"/>
        </w:rPr>
        <w:t>单位</w:t>
      </w:r>
      <w:r>
        <w:rPr>
          <w:rFonts w:hint="eastAsia" w:ascii="仿宋_GB2312" w:eastAsia="仿宋_GB2312"/>
          <w:color w:val="auto"/>
          <w:sz w:val="32"/>
          <w:szCs w:val="32"/>
          <w:u w:val="none"/>
        </w:rPr>
        <w:t>本年项目支出预算的</w:t>
      </w:r>
      <w:r>
        <w:rPr>
          <w:rFonts w:hint="eastAsia" w:ascii="仿宋_GB2312" w:eastAsia="仿宋_GB2312"/>
          <w:color w:val="auto"/>
          <w:sz w:val="32"/>
          <w:szCs w:val="32"/>
          <w:u w:val="none"/>
          <w:lang w:val="en-US" w:eastAsia="zh-CN"/>
        </w:rPr>
        <w:t>100</w:t>
      </w:r>
      <w:r>
        <w:rPr>
          <w:rFonts w:hint="eastAsia" w:ascii="仿宋_GB2312" w:eastAsia="仿宋_GB2312"/>
          <w:color w:val="auto"/>
          <w:sz w:val="32"/>
          <w:szCs w:val="32"/>
          <w:u w:val="none"/>
        </w:rPr>
        <w:t>%</w:t>
      </w:r>
      <w:r>
        <w:rPr>
          <w:rFonts w:hint="eastAsia" w:ascii="楷体_GB2312" w:eastAsia="楷体_GB2312" w:cs="楷体_GB2312"/>
          <w:color w:val="auto"/>
          <w:sz w:val="32"/>
          <w:szCs w:val="32"/>
          <w:u w:val="none"/>
          <w:lang w:val="en-US" w:eastAsia="zh-CN"/>
        </w:rPr>
        <w:t xml:space="preserve"> 。</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（五）重点行政事业性收费情况说明</w:t>
      </w:r>
    </w:p>
    <w:p>
      <w:pPr>
        <w:ind w:firstLine="600"/>
        <w:rPr>
          <w:rFonts w:ascii="仿宋_GB2312" w:hAnsi="Times New Roman" w:eastAsia="仿宋_GB2312"/>
          <w:sz w:val="32"/>
          <w:szCs w:val="32"/>
        </w:rPr>
      </w:pPr>
      <w:r>
        <w:rPr>
          <w:rFonts w:hint="eastAsia" w:ascii="仿宋_GB2312" w:hAnsi="Times New Roman" w:eastAsia="仿宋_GB2312"/>
          <w:sz w:val="32"/>
          <w:szCs w:val="32"/>
        </w:rPr>
        <w:t>本单位2024年无重点行政事业性收费。</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（六）国有资本经营预算财政拨款情况说明</w:t>
      </w:r>
    </w:p>
    <w:p>
      <w:pPr>
        <w:spacing w:line="560" w:lineRule="exact"/>
        <w:ind w:firstLine="640" w:firstLineChars="200"/>
        <w:rPr>
          <w:rFonts w:hint="eastAsia" w:ascii="仿宋_GB2312" w:hAnsi="Times New Roman" w:eastAsia="仿宋_GB2312"/>
          <w:sz w:val="32"/>
          <w:szCs w:val="32"/>
        </w:rPr>
      </w:pPr>
      <w:r>
        <w:rPr>
          <w:rFonts w:hint="eastAsia" w:ascii="仿宋_GB2312" w:hAnsi="Times New Roman" w:eastAsia="仿宋_GB2312"/>
          <w:sz w:val="32"/>
          <w:szCs w:val="32"/>
        </w:rPr>
        <w:t>本单位2024年无国有资本经营预算财政拨款安排的预算。</w:t>
      </w:r>
    </w:p>
    <w:p>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（七）国有资产占用情况说明</w:t>
      </w:r>
    </w:p>
    <w:p>
      <w:pPr>
        <w:spacing w:line="540" w:lineRule="exact"/>
        <w:ind w:firstLine="640" w:firstLineChars="200"/>
        <w:rPr>
          <w:rFonts w:hint="eastAsia" w:ascii="仿宋_GB2312" w:eastAsia="仿宋_GB2312"/>
          <w:color w:val="000000"/>
          <w:sz w:val="32"/>
          <w:szCs w:val="32"/>
          <w:u w:val="none"/>
          <w:lang w:val="en-US" w:eastAsia="zh-CN"/>
        </w:rPr>
      </w:pPr>
      <w:r>
        <w:rPr>
          <w:rFonts w:hint="eastAsia" w:ascii="仿宋_GB2312" w:eastAsia="仿宋_GB2312"/>
          <w:color w:val="000000"/>
          <w:sz w:val="32"/>
          <w:szCs w:val="32"/>
          <w:u w:val="none"/>
        </w:rPr>
        <w:t>截至</w:t>
      </w:r>
      <w:r>
        <w:rPr>
          <w:rFonts w:hint="eastAsia" w:ascii="仿宋_GB2312" w:eastAsia="仿宋_GB2312"/>
          <w:color w:val="000000"/>
          <w:sz w:val="32"/>
          <w:szCs w:val="32"/>
          <w:highlight w:val="none"/>
          <w:u w:val="none"/>
        </w:rPr>
        <w:t>2023</w:t>
      </w:r>
      <w:r>
        <w:rPr>
          <w:rFonts w:hint="eastAsia" w:ascii="仿宋_GB2312" w:eastAsia="仿宋_GB2312"/>
          <w:color w:val="000000"/>
          <w:sz w:val="32"/>
          <w:szCs w:val="32"/>
          <w:u w:val="none"/>
        </w:rPr>
        <w:t>年底，</w:t>
      </w:r>
      <w:r>
        <w:rPr>
          <w:rFonts w:hint="eastAsia" w:ascii="仿宋_GB2312" w:eastAsia="仿宋_GB2312"/>
          <w:color w:val="000000"/>
          <w:sz w:val="32"/>
          <w:szCs w:val="32"/>
          <w:u w:val="none"/>
          <w:lang w:eastAsia="zh-CN"/>
        </w:rPr>
        <w:t>北京市工艺美术高级技工学校</w:t>
      </w:r>
      <w:r>
        <w:rPr>
          <w:rFonts w:hint="eastAsia" w:ascii="仿宋_GB2312" w:eastAsia="仿宋_GB2312"/>
          <w:color w:val="000000"/>
          <w:sz w:val="32"/>
          <w:szCs w:val="32"/>
          <w:u w:val="none"/>
        </w:rPr>
        <w:t>共有车辆</w:t>
      </w:r>
      <w:r>
        <w:rPr>
          <w:rFonts w:hint="eastAsia" w:ascii="仿宋_GB2312" w:eastAsia="仿宋_GB2312"/>
          <w:color w:val="000000"/>
          <w:sz w:val="32"/>
          <w:szCs w:val="32"/>
          <w:u w:val="none"/>
          <w:lang w:val="en-US" w:eastAsia="zh-CN"/>
        </w:rPr>
        <w:t>7</w:t>
      </w:r>
      <w:r>
        <w:rPr>
          <w:rFonts w:hint="eastAsia" w:ascii="仿宋_GB2312" w:eastAsia="仿宋_GB2312"/>
          <w:color w:val="000000"/>
          <w:sz w:val="32"/>
          <w:szCs w:val="32"/>
          <w:u w:val="none"/>
        </w:rPr>
        <w:t>台，共计</w:t>
      </w:r>
      <w:r>
        <w:rPr>
          <w:rFonts w:hint="eastAsia" w:ascii="仿宋_GB2312" w:eastAsia="仿宋_GB2312"/>
          <w:color w:val="000000"/>
          <w:sz w:val="32"/>
          <w:szCs w:val="32"/>
          <w:u w:val="none"/>
          <w:lang w:val="en-US" w:eastAsia="zh-CN"/>
        </w:rPr>
        <w:t>149.19</w:t>
      </w:r>
      <w:r>
        <w:rPr>
          <w:rFonts w:hint="eastAsia" w:ascii="仿宋_GB2312" w:eastAsia="仿宋_GB2312"/>
          <w:color w:val="000000"/>
          <w:sz w:val="32"/>
          <w:szCs w:val="32"/>
          <w:u w:val="none"/>
        </w:rPr>
        <w:t>万元</w:t>
      </w:r>
      <w:bookmarkStart w:id="0" w:name="_GoBack"/>
      <w:bookmarkEnd w:id="0"/>
      <w:r>
        <w:rPr>
          <w:rFonts w:hint="eastAsia" w:ascii="仿宋_GB2312" w:eastAsia="仿宋_GB2312"/>
          <w:color w:val="000000"/>
          <w:sz w:val="32"/>
          <w:szCs w:val="32"/>
          <w:u w:val="none"/>
        </w:rPr>
        <w:t>；单位价值50万元以上的设备</w:t>
      </w:r>
      <w:r>
        <w:rPr>
          <w:rFonts w:hint="eastAsia" w:ascii="仿宋_GB2312" w:eastAsia="仿宋_GB2312"/>
          <w:color w:val="000000"/>
          <w:sz w:val="32"/>
          <w:szCs w:val="32"/>
          <w:u w:val="none"/>
          <w:lang w:val="en-US" w:eastAsia="zh-CN"/>
        </w:rPr>
        <w:t>36</w:t>
      </w:r>
      <w:r>
        <w:rPr>
          <w:rFonts w:hint="eastAsia" w:ascii="仿宋_GB2312" w:eastAsia="仿宋_GB2312"/>
          <w:color w:val="000000"/>
          <w:sz w:val="32"/>
          <w:szCs w:val="32"/>
          <w:u w:val="none"/>
        </w:rPr>
        <w:t>台（套）、共计</w:t>
      </w:r>
      <w:r>
        <w:rPr>
          <w:rFonts w:hint="eastAsia" w:ascii="仿宋_GB2312" w:eastAsia="仿宋_GB2312"/>
          <w:color w:val="000000"/>
          <w:sz w:val="32"/>
          <w:szCs w:val="32"/>
          <w:u w:val="none"/>
          <w:lang w:val="en-US" w:eastAsia="zh-CN"/>
        </w:rPr>
        <w:t>3264.01</w:t>
      </w:r>
      <w:r>
        <w:rPr>
          <w:rFonts w:hint="eastAsia" w:ascii="仿宋_GB2312" w:eastAsia="仿宋_GB2312"/>
          <w:color w:val="000000"/>
          <w:sz w:val="32"/>
          <w:szCs w:val="32"/>
          <w:u w:val="none"/>
        </w:rPr>
        <w:t>万元。</w:t>
      </w:r>
      <w:r>
        <w:rPr>
          <w:rFonts w:hint="eastAsia" w:ascii="仿宋_GB2312" w:eastAsia="仿宋_GB2312"/>
          <w:color w:val="000000"/>
          <w:sz w:val="32"/>
          <w:szCs w:val="32"/>
          <w:u w:val="none"/>
          <w:lang w:val="en-US" w:eastAsia="zh-CN"/>
        </w:rPr>
        <w:t>2024年预算安排中，购置单位价值50万元以上的设备0台（套），共计0万元。</w:t>
      </w:r>
    </w:p>
    <w:p>
      <w:pPr>
        <w:spacing w:line="560" w:lineRule="exact"/>
        <w:rPr>
          <w:rFonts w:hint="eastAsia" w:ascii="仿宋_GB2312" w:eastAsia="仿宋_GB2312"/>
          <w:color w:val="000000"/>
          <w:spacing w:val="-2"/>
          <w:sz w:val="32"/>
          <w:szCs w:val="32"/>
          <w:u w:val="none"/>
          <w:lang w:val="en-US"/>
        </w:rPr>
      </w:pPr>
      <w:r>
        <w:rPr>
          <w:rFonts w:hint="eastAsia" w:ascii="楷体_GB2312" w:eastAsia="楷体_GB2312"/>
          <w:color w:val="000000"/>
          <w:sz w:val="32"/>
          <w:szCs w:val="32"/>
          <w:u w:val="none"/>
          <w:lang w:val="en-US" w:eastAsia="zh-CN"/>
        </w:rPr>
        <w:t xml:space="preserve">    </w:t>
      </w:r>
      <w:r>
        <w:rPr>
          <w:rFonts w:hint="eastAsia" w:ascii="黑体" w:eastAsia="黑体"/>
          <w:color w:val="000000"/>
          <w:sz w:val="32"/>
          <w:szCs w:val="32"/>
          <w:u w:val="none"/>
        </w:rPr>
        <w:t>六、名词解释</w:t>
      </w:r>
      <w:r>
        <w:rPr>
          <w:rFonts w:hint="eastAsia" w:ascii="仿宋_GB2312" w:eastAsia="仿宋_GB2312"/>
          <w:color w:val="000000"/>
          <w:sz w:val="32"/>
          <w:szCs w:val="32"/>
          <w:u w:val="none"/>
          <w:lang w:val="en-US" w:eastAsia="zh-CN"/>
        </w:rPr>
        <w:t xml:space="preserve"> </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基本支出：指为保障机构正常运转、完成日常工作任务而发生的人员支出和公用支出。</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项目支出：指在基本支出之外为完成特定行政任务或事业发展目标所发生的支出。</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“三公”经费财政拨款预算数：指本单位当年单位预算安排的因公出国（境）费用、公务接待费、公务用车购置和运行维护费预算数。</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r>
        <w:rPr>
          <w:rFonts w:hint="eastAsia" w:ascii="方正小标宋简体" w:eastAsia="方正小标宋简体"/>
          <w:color w:val="000000"/>
          <w:sz w:val="36"/>
          <w:szCs w:val="36"/>
          <w:u w:val="none"/>
        </w:rPr>
        <w:t xml:space="preserve">第二部分  </w:t>
      </w:r>
      <w:r>
        <w:rPr>
          <w:rFonts w:hint="eastAsia" w:ascii="方正小标宋简体" w:eastAsia="方正小标宋简体"/>
          <w:color w:val="000000"/>
          <w:sz w:val="36"/>
          <w:szCs w:val="36"/>
          <w:u w:val="none"/>
          <w:lang w:eastAsia="zh-CN"/>
        </w:rPr>
        <w:t>2024年度</w:t>
      </w:r>
      <w:r>
        <w:rPr>
          <w:rFonts w:hint="eastAsia" w:ascii="方正小标宋简体" w:eastAsia="方正小标宋简体"/>
          <w:color w:val="000000"/>
          <w:sz w:val="36"/>
          <w:szCs w:val="36"/>
          <w:u w:val="none"/>
        </w:rPr>
        <w:t>单位预算报表</w:t>
      </w:r>
    </w:p>
    <w:p>
      <w:pPr>
        <w:autoSpaceDE w:val="0"/>
        <w:autoSpaceDN w:val="0"/>
        <w:adjustRightInd w:val="0"/>
        <w:spacing w:line="560" w:lineRule="exact"/>
        <w:jc w:val="left"/>
        <w:rPr>
          <w:rFonts w:hint="eastAsia" w:ascii="方正小标宋简体" w:eastAsia="方正小标宋简体"/>
          <w:color w:val="000000"/>
          <w:sz w:val="36"/>
          <w:szCs w:val="36"/>
          <w:u w:val="none"/>
        </w:rPr>
      </w:pP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附件：</w:t>
      </w:r>
      <w:r>
        <w:rPr>
          <w:rFonts w:hint="eastAsia" w:ascii="仿宋_GB2312" w:eastAsia="仿宋_GB2312"/>
          <w:color w:val="000000"/>
          <w:sz w:val="32"/>
          <w:szCs w:val="32"/>
          <w:u w:val="none"/>
          <w:lang w:eastAsia="zh-CN"/>
        </w:rPr>
        <w:t>北京市工艺美术高级技工学校2024年</w:t>
      </w:r>
      <w:r>
        <w:rPr>
          <w:rFonts w:hint="eastAsia" w:ascii="仿宋_GB2312" w:eastAsia="仿宋_GB2312"/>
          <w:color w:val="000000"/>
          <w:sz w:val="32"/>
          <w:szCs w:val="32"/>
          <w:u w:val="none"/>
        </w:rPr>
        <w:t>度单位预算报表</w:t>
      </w:r>
      <w:r>
        <w:rPr>
          <w:rFonts w:hint="eastAsia" w:ascii="仿宋_GB2312" w:eastAsia="仿宋_GB2312" w:cs="宋体"/>
          <w:color w:val="000000"/>
          <w:kern w:val="0"/>
          <w:sz w:val="32"/>
          <w:szCs w:val="32"/>
          <w:u w:val="none"/>
          <w:lang w:val="zh-CN"/>
        </w:rPr>
        <w:t xml:space="preserve"> </w:t>
      </w:r>
    </w:p>
    <w:p>
      <w:pPr>
        <w:spacing w:line="560" w:lineRule="exact"/>
        <w:rPr>
          <w:rFonts w:hint="eastAsia" w:ascii="仿宋_GB2312" w:eastAsia="仿宋_GB2312"/>
          <w:color w:val="000000"/>
          <w:sz w:val="32"/>
          <w:szCs w:val="32"/>
          <w:u w:val="none"/>
        </w:rPr>
      </w:pPr>
    </w:p>
    <w:p>
      <w:pPr>
        <w:rPr>
          <w:rFonts w:hint="eastAsia" w:ascii="仿宋_GB2312" w:eastAsia="仿宋_GB2312"/>
          <w:sz w:val="32"/>
          <w:szCs w:val="32"/>
          <w:u w:val="none"/>
        </w:rPr>
      </w:pPr>
    </w:p>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Droid Sans">
    <w:altName w:val="微软雅黑"/>
    <w:panose1 w:val="00000000000000000000"/>
    <w:charset w:val="00"/>
    <w:family w:val="auto"/>
    <w:pitch w:val="default"/>
    <w:sig w:usb0="00000000" w:usb1="00000000" w:usb2="00000000"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CESI黑体-GB2312">
    <w:altName w:val="黑体"/>
    <w:panose1 w:val="02000500000000000000"/>
    <w:charset w:val="86"/>
    <w:family w:val="auto"/>
    <w:pitch w:val="default"/>
    <w:sig w:usb0="00000000" w:usb1="00000000" w:usb2="00000012" w:usb3="00000000" w:csb0="0004000F" w:csb1="00000000"/>
  </w:font>
  <w:font w:name="Arial">
    <w:panose1 w:val="020B0604020202020204"/>
    <w:charset w:val="00"/>
    <w:family w:val="swiss"/>
    <w:pitch w:val="default"/>
    <w:sig w:usb0="E0002EFF" w:usb1="C000785B" w:usb2="00000009" w:usb3="00000000" w:csb0="400001FF" w:csb1="FFFF0000"/>
  </w:font>
  <w:font w:name="方正小标宋简体">
    <w:altName w:val="微软雅黑"/>
    <w:panose1 w:val="02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Liberation Sans">
    <w:altName w:val="微软雅黑"/>
    <w:panose1 w:val="00000000000000000000"/>
    <w:charset w:val="00"/>
    <w:family w:val="swiss"/>
    <w:pitch w:val="default"/>
    <w:sig w:usb0="00000000" w:usb1="00000000" w:usb2="00000000" w:usb3="00000000" w:csb0="00040001" w:csb1="00000000"/>
  </w:font>
  <w:font w:name="Noto Sans CJK SC Regular">
    <w:altName w:val="宋体"/>
    <w:panose1 w:val="00000000000000000000"/>
    <w:charset w:val="86"/>
    <w:family w:val="auto"/>
    <w:pitch w:val="default"/>
    <w:sig w:usb0="00000000" w:usb1="00000000" w:usb2="00000016" w:usb3="00000000" w:csb0="602E0107" w:csb1="00000000"/>
  </w:font>
  <w:font w:name="仿宋_GB2312">
    <w:altName w:val="仿宋"/>
    <w:panose1 w:val="00000000000000000000"/>
    <w:charset w:val="00"/>
    <w:family w:val="auto"/>
    <w:pitch w:val="default"/>
    <w:sig w:usb0="00000000" w:usb1="00000000" w:usb2="00000000" w:usb3="00000000" w:csb0="00000000" w:csb1="00000000"/>
  </w:font>
  <w:font w:name="楷体_GB2312">
    <w:altName w:val="楷体"/>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wps:txbx>
                    <wps:bodyPr wrap="none" lIns="0" tIns="0" rIns="0" bIns="0" upright="0">
                      <a:spAutoFit/>
                    </wps:bodyPr>
                  </wps:wsp>
                </a:graphicData>
              </a:graphic>
            </wp:anchor>
          </w:drawing>
        </mc:Choice>
        <mc:Fallback>
          <w:pict>
            <v:shape id="文本框 1"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CW&#10;OS/dtwEAAFQDAAAOAAAAAAAAAAEAIAAAAB4BAABkcnMvZTJvRG9jLnhtbFBLBQYAAAAABgAGAFkB&#10;AABHBQAAAAA=&#10;">
              <v:fill on="f" focussize="0,0"/>
              <v:stroke on="f"/>
              <v:imagedata o:title=""/>
              <o:lock v:ext="edit" aspectratio="f"/>
              <v:textbox inset="0mm,0mm,0mm,0mm" style="mso-fit-shape-to-text:t;">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v:textbox>
            </v:shape>
          </w:pict>
        </mc:Fallback>
      </mc:AlternateContent>
    </w:r>
  </w:p>
  <w:p>
    <w:pPr>
      <w:pStyle w:val="3"/>
      <w:ind w:right="360" w:firstLine="360"/>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2E9D19"/>
    <w:multiLevelType w:val="singleLevel"/>
    <w:tmpl w:val="FF2E9D1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2433D6"/>
    <w:rsid w:val="05D90AD9"/>
    <w:rsid w:val="070D5CA6"/>
    <w:rsid w:val="0F0A5741"/>
    <w:rsid w:val="0F3A48DC"/>
    <w:rsid w:val="100823FF"/>
    <w:rsid w:val="17A032D5"/>
    <w:rsid w:val="1A18726D"/>
    <w:rsid w:val="2139185D"/>
    <w:rsid w:val="23AA5453"/>
    <w:rsid w:val="26E44E7E"/>
    <w:rsid w:val="2A2E13C7"/>
    <w:rsid w:val="340F6C09"/>
    <w:rsid w:val="352D37A0"/>
    <w:rsid w:val="37323CDE"/>
    <w:rsid w:val="39493ECD"/>
    <w:rsid w:val="50BC521B"/>
    <w:rsid w:val="5AB92A6C"/>
    <w:rsid w:val="5DDF04B6"/>
    <w:rsid w:val="62113139"/>
    <w:rsid w:val="6C003BD5"/>
    <w:rsid w:val="799B296E"/>
    <w:rsid w:val="7A2433D6"/>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Theme="minorEastAsia" w:cstheme="minorBidi"/>
      <w:kern w:val="2"/>
      <w:sz w:val="21"/>
      <w:szCs w:val="24"/>
      <w:lang w:val="en-US" w:eastAsia="zh-CN" w:bidi="ar-SA"/>
    </w:rPr>
  </w:style>
  <w:style w:type="paragraph" w:styleId="2">
    <w:name w:val="heading 2"/>
    <w:basedOn w:val="1"/>
    <w:next w:val="1"/>
    <w:unhideWhenUsed/>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lang="zh-CN" sz="1800" b="1" i="0" u="none" strike="noStrike" kern="1200" baseline="0">
              <a:solidFill>
                <a:schemeClr val="dk1">
                  <a:lumMod val="75000"/>
                  <a:lumOff val="25000"/>
                </a:schemeClr>
              </a:solidFill>
              <a:latin typeface="+mn-lt"/>
              <a:ea typeface="+mn-ea"/>
              <a:cs typeface="+mn-cs"/>
            </a:defRPr>
          </a:pPr>
        </a:p>
      </c:txPr>
    </c:title>
    <c:autoTitleDeleted val="0"/>
    <c:plotArea>
      <c:layout/>
      <c:pieChart>
        <c:varyColors val="1"/>
        <c:ser>
          <c:idx val="0"/>
          <c:order val="0"/>
          <c:tx>
            <c:strRef>
              <c:f>Sheet1!$B$1</c:f>
              <c:strCache>
                <c:ptCount val="1"/>
                <c:pt idx="0">
                  <c:v>收入预算</c:v>
                </c:pt>
              </c:strCache>
            </c:strRef>
          </c:tx>
          <c:spPr/>
          <c:explosion val="0"/>
          <c:dPt>
            <c:idx val="0"/>
            <c:bubble3D val="0"/>
            <c:spPr>
              <a:solidFill>
                <a:schemeClr val="accent1"/>
              </a:solidFill>
              <a:ln>
                <a:noFill/>
              </a:ln>
              <a:effectLst>
                <a:outerShdw blurRad="254000" sx="102000" sy="102000" algn="ctr" rotWithShape="0">
                  <a:prstClr val="black">
                    <a:alpha val="20000"/>
                  </a:prstClr>
                </a:outerShdw>
              </a:effectLst>
            </c:spPr>
          </c:dPt>
          <c:dPt>
            <c:idx val="1"/>
            <c:bubble3D val="0"/>
            <c:spPr>
              <a:solidFill>
                <a:schemeClr val="accent2"/>
              </a:solidFill>
              <a:ln>
                <a:noFill/>
              </a:ln>
              <a:effectLst>
                <a:outerShdw blurRad="254000" sx="102000" sy="102000" algn="ctr" rotWithShape="0">
                  <a:prstClr val="black">
                    <a:alpha val="20000"/>
                  </a:prstClr>
                </a:outerShdw>
              </a:effectLst>
            </c:spPr>
          </c:dPt>
          <c:dPt>
            <c:idx val="2"/>
            <c:bubble3D val="0"/>
            <c:spPr>
              <a:solidFill>
                <a:schemeClr val="accent3"/>
              </a:solidFill>
              <a:ln>
                <a:noFill/>
              </a:ln>
              <a:effectLst>
                <a:outerShdw blurRad="254000" sx="102000" sy="102000" algn="ctr" rotWithShape="0">
                  <a:prstClr val="black">
                    <a:alpha val="20000"/>
                  </a:prstClr>
                </a:outerShdw>
              </a:effectLst>
            </c:spPr>
          </c:dPt>
          <c:dPt>
            <c:idx val="3"/>
            <c:bubble3D val="0"/>
            <c:spPr>
              <a:solidFill>
                <a:schemeClr val="accent4"/>
              </a:solidFill>
              <a:ln>
                <a:noFill/>
              </a:ln>
              <a:effectLst>
                <a:outerShdw blurRad="254000" sx="102000" sy="102000" algn="ctr" rotWithShape="0">
                  <a:prstClr val="black">
                    <a:alpha val="20000"/>
                  </a:prstClr>
                </a:outerShdw>
              </a:effectLst>
            </c:spPr>
          </c:dPt>
          <c:dLbls>
            <c:dLbl>
              <c:idx val="0"/>
              <c:layout/>
              <c:tx>
                <c:rich>
                  <a:bodyPr rot="0" spcFirstLastPara="0" vertOverflow="ellipsis" vert="horz" wrap="square" lIns="38100" tIns="19050" rIns="38100" bIns="19050" anchor="ctr" anchorCtr="1"/>
                  <a:lstStyle/>
                  <a:p>
                    <a:pPr defTabSz="914400">
                      <a:defRPr lang="zh-CN" sz="1000" b="1" i="0" u="none" strike="noStrike" kern="1200" baseline="0">
                        <a:solidFill>
                          <a:schemeClr val="lt1"/>
                        </a:solidFill>
                        <a:latin typeface="+mn-lt"/>
                        <a:ea typeface="+mn-ea"/>
                        <a:cs typeface="+mn-cs"/>
                      </a:defRPr>
                    </a:pPr>
                    <a:r>
                      <a:rPr lang="en-US" altLang="zh-CN"/>
                      <a:t>94.34</a:t>
                    </a:r>
                    <a:r>
                      <a:t>%</a:t>
                    </a:r>
                  </a:p>
                </c:rich>
              </c:tx>
              <c:numFmt formatCode="General" sourceLinked="1"/>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0" vertOverflow="ellipsis" vert="horz" wrap="square" lIns="38100" tIns="19050" rIns="38100" bIns="19050" anchor="ctr" anchorCtr="1"/>
                <a:lstStyle/>
                <a:p>
                  <a:pPr>
                    <a:defRPr lang="zh-CN" sz="1000" b="1" i="0" u="none" strike="noStrike" kern="1200" baseline="0">
                      <a:solidFill>
                        <a:schemeClr val="lt1"/>
                      </a:solidFill>
                      <a:latin typeface="+mn-lt"/>
                      <a:ea typeface="+mn-ea"/>
                      <a:cs typeface="+mn-cs"/>
                    </a:defRPr>
                  </a:pPr>
                </a:p>
              </c:txPr>
              <c:dLblPos val="bestFit"/>
              <c:showLegendKey val="0"/>
              <c:showVal val="0"/>
              <c:showCatName val="0"/>
              <c:showSerName val="0"/>
              <c:showPercent val="1"/>
              <c:showBubbleSize val="0"/>
              <c:extLst>
                <c:ext xmlns:c15="http://schemas.microsoft.com/office/drawing/2012/chart" uri="{CE6537A1-D6FC-4f65-9D91-7224C49458BB}"/>
              </c:extLst>
            </c:dLbl>
            <c:dLbl>
              <c:idx val="1"/>
              <c:layout>
                <c:manualLayout>
                  <c:x val="-0.0198651577173128"/>
                  <c:y val="-0.00185758513931889"/>
                </c:manualLayout>
              </c:layout>
              <c:tx>
                <c:rich>
                  <a:bodyPr rot="0" spcFirstLastPara="0" vertOverflow="ellipsis" vert="horz" wrap="square" lIns="38100" tIns="19050" rIns="38100" bIns="19050" anchor="ctr" anchorCtr="1"/>
                  <a:lstStyle/>
                  <a:p>
                    <a:pPr defTabSz="914400">
                      <a:defRPr lang="zh-CN" sz="1000" b="1" i="0" u="none" strike="noStrike" kern="1200" baseline="0">
                        <a:solidFill>
                          <a:schemeClr val="lt1"/>
                        </a:solidFill>
                        <a:latin typeface="+mn-lt"/>
                        <a:ea typeface="+mn-ea"/>
                        <a:cs typeface="+mn-cs"/>
                      </a:defRPr>
                    </a:pPr>
                    <a:r>
                      <a:rPr lang="en-US" altLang="zh-CN"/>
                      <a:t>2.49</a:t>
                    </a:r>
                    <a:r>
                      <a:t>%</a:t>
                    </a:r>
                  </a:p>
                </c:rich>
              </c:tx>
              <c:numFmt formatCode="General" sourceLinked="1"/>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0" vertOverflow="ellipsis" vert="horz" wrap="square" lIns="38100" tIns="19050" rIns="38100" bIns="19050" anchor="ctr" anchorCtr="1"/>
                <a:lstStyle/>
                <a:p>
                  <a:pPr>
                    <a:defRPr lang="zh-CN" sz="1000" b="1" i="0" u="none" strike="noStrike" kern="1200" baseline="0">
                      <a:solidFill>
                        <a:schemeClr val="lt1"/>
                      </a:solidFill>
                      <a:latin typeface="+mn-lt"/>
                      <a:ea typeface="+mn-ea"/>
                      <a:cs typeface="+mn-cs"/>
                    </a:defRPr>
                  </a:pPr>
                </a:p>
              </c:txPr>
              <c:dLblPos val="bestFit"/>
              <c:showLegendKey val="0"/>
              <c:showVal val="0"/>
              <c:showCatName val="0"/>
              <c:showSerName val="0"/>
              <c:showPercent val="1"/>
              <c:showBubbleSize val="0"/>
              <c:extLst>
                <c:ext xmlns:c15="http://schemas.microsoft.com/office/drawing/2012/chart" uri="{CE6537A1-D6FC-4f65-9D91-7224C49458BB}">
                  <c15:layout/>
                </c:ext>
              </c:extLst>
            </c:dLbl>
            <c:dLbl>
              <c:idx val="2"/>
              <c:layout/>
              <c:tx>
                <c:rich>
                  <a:bodyPr rot="0" spcFirstLastPara="0" vertOverflow="ellipsis" vert="horz" wrap="square" lIns="38100" tIns="19050" rIns="38100" bIns="19050" anchor="ctr" anchorCtr="1"/>
                  <a:lstStyle/>
                  <a:p>
                    <a:pPr defTabSz="914400">
                      <a:defRPr lang="zh-CN" sz="1000" b="1" i="0" u="none" strike="noStrike" kern="1200" baseline="0">
                        <a:solidFill>
                          <a:schemeClr val="lt1"/>
                        </a:solidFill>
                        <a:latin typeface="+mn-lt"/>
                        <a:ea typeface="+mn-ea"/>
                        <a:cs typeface="+mn-cs"/>
                      </a:defRPr>
                    </a:pPr>
                    <a:r>
                      <a:rPr lang="en-US" altLang="zh-CN"/>
                      <a:t>2.49</a:t>
                    </a:r>
                    <a:r>
                      <a:t>%</a:t>
                    </a:r>
                  </a:p>
                </c:rich>
              </c:tx>
              <c:numFmt formatCode="General" sourceLinked="1"/>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0" vertOverflow="ellipsis" vert="horz" wrap="square" lIns="38100" tIns="19050" rIns="38100" bIns="19050" anchor="ctr" anchorCtr="1"/>
                <a:lstStyle/>
                <a:p>
                  <a:pPr>
                    <a:defRPr lang="zh-CN" sz="1000" b="1" i="0" u="none" strike="noStrike" kern="1200" baseline="0">
                      <a:solidFill>
                        <a:schemeClr val="lt1"/>
                      </a:solidFill>
                      <a:latin typeface="+mn-lt"/>
                      <a:ea typeface="+mn-ea"/>
                      <a:cs typeface="+mn-cs"/>
                    </a:defRPr>
                  </a:pPr>
                </a:p>
              </c:txPr>
              <c:dLblPos val="bestFit"/>
              <c:showLegendKey val="0"/>
              <c:showVal val="0"/>
              <c:showCatName val="0"/>
              <c:showSerName val="0"/>
              <c:showPercent val="1"/>
              <c:showBubbleSize val="0"/>
              <c:extLst>
                <c:ext xmlns:c15="http://schemas.microsoft.com/office/drawing/2012/chart" uri="{CE6537A1-D6FC-4f65-9D91-7224C49458BB}"/>
              </c:extLst>
            </c:dLbl>
            <c:dLbl>
              <c:idx val="3"/>
              <c:layout>
                <c:manualLayout>
                  <c:x val="0.0198651577173128"/>
                  <c:y val="0.00577915376676987"/>
                </c:manualLayout>
              </c:layout>
              <c:tx>
                <c:rich>
                  <a:bodyPr rot="0" spcFirstLastPara="0" vertOverflow="ellipsis" vert="horz" wrap="square" lIns="38100" tIns="19050" rIns="38100" bIns="19050" anchor="ctr" anchorCtr="1"/>
                  <a:lstStyle/>
                  <a:p>
                    <a:pPr defTabSz="914400">
                      <a:defRPr lang="zh-CN" sz="1000" b="1" i="0" u="none" strike="noStrike" kern="1200" baseline="0">
                        <a:solidFill>
                          <a:schemeClr val="lt1"/>
                        </a:solidFill>
                        <a:latin typeface="+mn-lt"/>
                        <a:ea typeface="+mn-ea"/>
                        <a:cs typeface="+mn-cs"/>
                      </a:defRPr>
                    </a:pPr>
                    <a:r>
                      <a:rPr lang="en-US" altLang="zh-CN"/>
                      <a:t>0.68</a:t>
                    </a:r>
                    <a:r>
                      <a:t>%</a:t>
                    </a:r>
                  </a:p>
                </c:rich>
              </c:tx>
              <c:numFmt formatCode="General" sourceLinked="1"/>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0" vertOverflow="ellipsis" vert="horz" wrap="square" lIns="38100" tIns="19050" rIns="38100" bIns="19050" anchor="ctr" anchorCtr="1"/>
                <a:lstStyle/>
                <a:p>
                  <a:pPr>
                    <a:defRPr lang="zh-CN" sz="1000" b="1" i="0" u="none" strike="noStrike" kern="1200" baseline="0">
                      <a:solidFill>
                        <a:schemeClr val="lt1"/>
                      </a:solidFill>
                      <a:latin typeface="+mn-lt"/>
                      <a:ea typeface="+mn-ea"/>
                      <a:cs typeface="+mn-cs"/>
                    </a:defRPr>
                  </a:pPr>
                </a:p>
              </c:txPr>
              <c:dLblPos val="bestFit"/>
              <c:showLegendKey val="0"/>
              <c:showVal val="0"/>
              <c:showCatName val="0"/>
              <c:showSerName val="0"/>
              <c:showPercent val="1"/>
              <c:showBubbleSize val="0"/>
              <c:extLst>
                <c:ext xmlns:c15="http://schemas.microsoft.com/office/drawing/2012/chart" uri="{CE6537A1-D6FC-4f65-9D91-7224C49458BB}">
                  <c15:layout/>
                </c:ext>
              </c:extLst>
            </c:dLbl>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0" vertOverflow="ellipsis" vert="horz" wrap="square" lIns="38100" tIns="19050" rIns="38100" bIns="19050" anchor="ctr" anchorCtr="1"/>
              <a:lstStyle/>
              <a:p>
                <a:pPr>
                  <a:defRPr lang="zh-CN" sz="1000" b="1" i="0" u="none" strike="noStrike" kern="1200" baseline="0">
                    <a:solidFill>
                      <a:schemeClr val="lt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a:solidFill>
                        <a:schemeClr val="dk1">
                          <a:lumMod val="50000"/>
                          <a:lumOff val="50000"/>
                        </a:schemeClr>
                      </a:solidFill>
                    </a:ln>
                    <a:effectLst/>
                  </c:spPr>
                </c15:leaderLines>
              </c:ext>
            </c:extLst>
          </c:dLbls>
          <c:cat>
            <c:strRef>
              <c:f>Sheet1!$A$2:$A$5</c:f>
              <c:strCache>
                <c:ptCount val="4"/>
                <c:pt idx="0">
                  <c:v>一般公共预算财拨收入</c:v>
                </c:pt>
                <c:pt idx="1">
                  <c:v>财政专户管理资金收入</c:v>
                </c:pt>
                <c:pt idx="2">
                  <c:v>其他收入</c:v>
                </c:pt>
                <c:pt idx="3">
                  <c:v>上年结转结余</c:v>
                </c:pt>
              </c:strCache>
            </c:strRef>
          </c:cat>
          <c:val>
            <c:numRef>
              <c:f>Sheet1!$B$2:$B$5</c:f>
              <c:numCache>
                <c:formatCode>0.00%</c:formatCode>
                <c:ptCount val="4"/>
                <c:pt idx="0">
                  <c:v>0.9434</c:v>
                </c:pt>
                <c:pt idx="1">
                  <c:v>0.0249</c:v>
                </c:pt>
                <c:pt idx="2">
                  <c:v>0.0249</c:v>
                </c:pt>
                <c:pt idx="3">
                  <c:v>0.0068</c:v>
                </c:pt>
              </c:numCache>
            </c:numRef>
          </c:val>
        </c:ser>
        <c:dLbls>
          <c:showLegendKey val="0"/>
          <c:showVal val="1"/>
          <c:showCatName val="0"/>
          <c:showSerName val="0"/>
          <c:showPercent val="0"/>
          <c:showBubbleSize val="0"/>
          <c:showLeaderLines val="1"/>
        </c:dLbls>
        <c:firstSliceAng val="0"/>
        <c:extLst>
          <c:ext xmlns:c15="http://schemas.microsoft.com/office/drawing/2012/chart" uri="{02D57815-91ED-43cb-92C2-25804820EDAC}">
            <c15:filteredPieSeries>
              <c15:ser>
                <c:idx val="1"/>
                <c:order val="1"/>
                <c:tx>
                  <c:strRef>
                    <c:extLst>
                      <c:ext uri="{02D57815-91ED-43cb-92C2-25804820EDAC}">
                        <c15:formulaRef>
                          <c15:sqref>Sheet1!$C$1</c15:sqref>
                        </c15:formulaRef>
                      </c:ext>
                    </c:extLst>
                    <c:strCache>
                      <c:ptCount val="1"/>
                      <c:pt idx="0">
                        <c:v>列1</c:v>
                      </c:pt>
                    </c:strCache>
                  </c:strRef>
                </c:tx>
                <c:spPr/>
                <c:explosion val="0"/>
                <c:dPt>
                  <c:idx val="0"/>
                  <c:bubble3D val="0"/>
                  <c:spPr>
                    <a:solidFill>
                      <a:schemeClr val="accent1"/>
                    </a:solidFill>
                    <a:ln>
                      <a:noFill/>
                    </a:ln>
                    <a:effectLst>
                      <a:outerShdw blurRad="254000" sx="102000" sy="102000" algn="ctr" rotWithShape="0">
                        <a:prstClr val="black">
                          <a:alpha val="20000"/>
                        </a:prstClr>
                      </a:outerShdw>
                    </a:effectLst>
                  </c:spPr>
                </c:dPt>
                <c:dPt>
                  <c:idx val="1"/>
                  <c:bubble3D val="0"/>
                  <c:spPr>
                    <a:solidFill>
                      <a:schemeClr val="accent2"/>
                    </a:solidFill>
                    <a:ln>
                      <a:noFill/>
                    </a:ln>
                    <a:effectLst>
                      <a:outerShdw blurRad="254000" sx="102000" sy="102000" algn="ctr" rotWithShape="0">
                        <a:prstClr val="black">
                          <a:alpha val="20000"/>
                        </a:prstClr>
                      </a:outerShdw>
                    </a:effectLst>
                  </c:spPr>
                </c:dPt>
                <c:dPt>
                  <c:idx val="2"/>
                  <c:bubble3D val="0"/>
                  <c:spPr>
                    <a:solidFill>
                      <a:schemeClr val="accent3"/>
                    </a:solidFill>
                    <a:ln>
                      <a:noFill/>
                    </a:ln>
                    <a:effectLst>
                      <a:outerShdw blurRad="254000" sx="102000" sy="102000" algn="ctr" rotWithShape="0">
                        <a:prstClr val="black">
                          <a:alpha val="20000"/>
                        </a:prstClr>
                      </a:outerShdw>
                    </a:effectLst>
                  </c:spPr>
                </c:dPt>
                <c:dPt>
                  <c:idx val="3"/>
                  <c:bubble3D val="0"/>
                  <c:spPr>
                    <a:solidFill>
                      <a:schemeClr val="accent4"/>
                    </a:solidFill>
                    <a:ln>
                      <a:noFill/>
                    </a:ln>
                    <a:effectLst>
                      <a:outerShdw blurRad="254000" sx="102000" sy="102000" algn="ctr" rotWithShape="0">
                        <a:prstClr val="black">
                          <a:alpha val="20000"/>
                        </a:prstClr>
                      </a:outerShdw>
                    </a:effectLst>
                  </c:spPr>
                </c:dPt>
                <c:dLbls>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0" vertOverflow="ellipsis" vert="horz" wrap="square" lIns="38100" tIns="19050" rIns="38100" bIns="19050" anchor="ctr" anchorCtr="1"/>
                    <a:lstStyle/>
                    <a:p>
                      <a:pPr>
                        <a:defRPr lang="zh-CN" sz="1000" b="1" i="0" u="none" strike="noStrike" kern="1200" baseline="0">
                          <a:solidFill>
                            <a:schemeClr val="lt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a:solidFill>
                              <a:schemeClr val="dk1">
                                <a:lumMod val="50000"/>
                                <a:lumOff val="50000"/>
                              </a:schemeClr>
                            </a:solidFill>
                          </a:ln>
                          <a:effectLst/>
                        </c:spPr>
                      </c15:leaderLines>
                    </c:ext>
                  </c:extLst>
                </c:dLbls>
                <c:cat>
                  <c:strRef>
                    <c:extLst>
                      <c:ext uri="{02D57815-91ED-43cb-92C2-25804820EDAC}">
                        <c15:fullRef>
                          <c15:sqref/>
                        </c15:fullRef>
                        <c15:formulaRef>
                          <c15:sqref>Sheet1!$A$2:$A$5</c15:sqref>
                        </c15:formulaRef>
                      </c:ext>
                    </c:extLst>
                    <c:strCache>
                      <c:ptCount val="4"/>
                      <c:pt idx="0">
                        <c:v>一般公共预算财拨收入</c:v>
                      </c:pt>
                      <c:pt idx="1">
                        <c:v>财政专户管理资金收入</c:v>
                      </c:pt>
                      <c:pt idx="2">
                        <c:v>其他收入</c:v>
                      </c:pt>
                      <c:pt idx="3">
                        <c:v>上年结转结余</c:v>
                      </c:pt>
                    </c:strCache>
                  </c:strRef>
                </c:cat>
                <c:val>
                  <c:numRef>
                    <c:extLst>
                      <c:ext uri="{02D57815-91ED-43cb-92C2-25804820EDAC}">
                        <c15:formulaRef>
                          <c15:sqref>Sheet1!$C$2:$C$5</c15:sqref>
                        </c15:formulaRef>
                      </c:ext>
                    </c:extLst>
                    <c:numCache>
                      <c:formatCode>General</c:formatCode>
                      <c:ptCount val="4"/>
                    </c:numCache>
                  </c:numRef>
                </c:val>
              </c15:ser>
            </c15:filteredPieSeries>
          </c:ext>
        </c:extLst>
      </c:pieChart>
      <c:spPr>
        <a:noFill/>
        <a:ln>
          <a:noFill/>
        </a:ln>
        <a:effectLst/>
      </c:spPr>
    </c:plotArea>
    <c:legend>
      <c:legendPos val="r"/>
      <c:layout/>
      <c:overlay val="0"/>
      <c:spPr>
        <a:solidFill>
          <a:schemeClr val="lt1">
            <a:lumMod val="95000"/>
            <a:alpha val="39000"/>
          </a:schemeClr>
        </a:solidFill>
        <a:ln>
          <a:noFill/>
        </a:ln>
        <a:effectLst/>
      </c:spPr>
      <c:txPr>
        <a:bodyPr rot="0" spcFirstLastPara="1" vertOverflow="ellipsis" vert="horz" wrap="square" anchor="ctr" anchorCtr="1"/>
        <a:lstStyle/>
        <a:p>
          <a:pPr>
            <a:defRPr lang="zh-CN" sz="900" b="0" i="0" u="none" strike="noStrike" kern="1200" baseline="0">
              <a:solidFill>
                <a:schemeClr val="dk1">
                  <a:lumMod val="75000"/>
                  <a:lumOff val="25000"/>
                </a:schemeClr>
              </a:solidFill>
              <a:latin typeface="+mn-lt"/>
              <a:ea typeface="+mn-ea"/>
              <a:cs typeface="+mn-cs"/>
            </a:defRPr>
          </a:pPr>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金额</c:v>
                </c:pt>
              </c:strCache>
            </c:strRef>
          </c:tx>
          <c:spPr/>
          <c:explosion val="0"/>
          <c:dPt>
            <c:idx val="0"/>
            <c:bubble3D val="0"/>
            <c:spPr>
              <a:solidFill>
                <a:schemeClr val="accent1"/>
              </a:solidFill>
              <a:ln>
                <a:noFill/>
              </a:ln>
              <a:effectLst>
                <a:outerShdw blurRad="254000" sx="102000" sy="102000" algn="ctr" rotWithShape="0">
                  <a:prstClr val="black">
                    <a:alpha val="20000"/>
                  </a:prstClr>
                </a:outerShdw>
              </a:effectLst>
            </c:spPr>
          </c:dPt>
          <c:dPt>
            <c:idx val="1"/>
            <c:bubble3D val="0"/>
            <c:spPr>
              <a:solidFill>
                <a:schemeClr val="accent2"/>
              </a:solidFill>
              <a:ln>
                <a:noFill/>
              </a:ln>
              <a:effectLst>
                <a:outerShdw blurRad="254000" sx="102000" sy="102000" algn="ctr" rotWithShape="0">
                  <a:prstClr val="black">
                    <a:alpha val="20000"/>
                  </a:prstClr>
                </a:outerShdw>
              </a:effectLst>
            </c:spPr>
          </c:dPt>
          <c:dLbls>
            <c:dLbl>
              <c:idx val="0"/>
              <c:layout/>
              <c:tx>
                <c:rich>
                  <a:bodyPr rot="0" spcFirstLastPara="1" vertOverflow="ellipsis" vert="horz" wrap="square" lIns="38100" tIns="19050" rIns="38100" bIns="19050" anchor="ctr" anchorCtr="1"/>
                  <a:lstStyle/>
                  <a:p>
                    <a:pPr defTabSz="914400">
                      <a:defRPr lang="zh-CN" sz="1000" b="1" i="0" u="none" strike="noStrike" kern="1200" baseline="0">
                        <a:solidFill>
                          <a:schemeClr val="lt1"/>
                        </a:solidFill>
                        <a:latin typeface="+mn-lt"/>
                        <a:ea typeface="+mn-ea"/>
                        <a:cs typeface="+mn-cs"/>
                      </a:defRPr>
                    </a:pPr>
                    <a:r>
                      <a:rPr lang="en-US" altLang="zh-CN"/>
                      <a:t>69.90</a:t>
                    </a:r>
                    <a:r>
                      <a:t>%</a:t>
                    </a:r>
                  </a:p>
                </c:rich>
              </c:tx>
              <c:numFmt formatCode="General" sourceLinked="1"/>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lstStyle/>
                <a:p>
                  <a:pPr>
                    <a:defRPr lang="zh-CN" sz="1000" b="1" i="0" u="none" strike="noStrike" kern="1200" baseline="0">
                      <a:solidFill>
                        <a:schemeClr val="lt1"/>
                      </a:solidFill>
                      <a:latin typeface="+mn-lt"/>
                      <a:ea typeface="+mn-ea"/>
                      <a:cs typeface="+mn-cs"/>
                    </a:defRPr>
                  </a:pPr>
                </a:p>
              </c:txPr>
              <c:dLblPos val="bestFit"/>
              <c:showLegendKey val="0"/>
              <c:showVal val="0"/>
              <c:showCatName val="0"/>
              <c:showSerName val="0"/>
              <c:showPercent val="1"/>
              <c:showBubbleSize val="0"/>
              <c:extLst>
                <c:ext xmlns:c15="http://schemas.microsoft.com/office/drawing/2012/chart" uri="{CE6537A1-D6FC-4f65-9D91-7224C49458BB}"/>
              </c:extLst>
            </c:dLbl>
            <c:dLbl>
              <c:idx val="1"/>
              <c:layout/>
              <c:tx>
                <c:rich>
                  <a:bodyPr rot="0" spcFirstLastPara="1" vertOverflow="ellipsis" vert="horz" wrap="square" lIns="38100" tIns="19050" rIns="38100" bIns="19050" anchor="ctr" anchorCtr="1"/>
                  <a:lstStyle/>
                  <a:p>
                    <a:pPr defTabSz="914400">
                      <a:defRPr lang="zh-CN" sz="1000" b="1" i="0" u="none" strike="noStrike" kern="1200" baseline="0">
                        <a:solidFill>
                          <a:schemeClr val="lt1"/>
                        </a:solidFill>
                        <a:latin typeface="+mn-lt"/>
                        <a:ea typeface="+mn-ea"/>
                        <a:cs typeface="+mn-cs"/>
                      </a:defRPr>
                    </a:pPr>
                    <a:r>
                      <a:t>30</a:t>
                    </a:r>
                    <a:r>
                      <a:rPr lang="en-US" altLang="zh-CN"/>
                      <a:t>.10</a:t>
                    </a:r>
                    <a:r>
                      <a:t>%</a:t>
                    </a:r>
                  </a:p>
                </c:rich>
              </c:tx>
              <c:numFmt formatCode="General" sourceLinked="1"/>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lstStyle/>
                <a:p>
                  <a:pPr>
                    <a:defRPr lang="zh-CN" sz="1000" b="1" i="0" u="none" strike="noStrike" kern="1200" baseline="0">
                      <a:solidFill>
                        <a:schemeClr val="lt1"/>
                      </a:solidFill>
                      <a:latin typeface="+mn-lt"/>
                      <a:ea typeface="+mn-ea"/>
                      <a:cs typeface="+mn-cs"/>
                    </a:defRPr>
                  </a:pPr>
                </a:p>
              </c:txPr>
              <c:dLblPos val="bestFit"/>
              <c:showLegendKey val="0"/>
              <c:showVal val="0"/>
              <c:showCatName val="0"/>
              <c:showSerName val="0"/>
              <c:showPercent val="1"/>
              <c:showBubbleSize val="0"/>
              <c:extLst>
                <c:ext xmlns:c15="http://schemas.microsoft.com/office/drawing/2012/chart" uri="{CE6537A1-D6FC-4f65-9D91-7224C49458BB}"/>
              </c:extLst>
            </c:dLbl>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lang="zh-CN" sz="1000" b="1" i="0" u="none" strike="noStrike" kern="1200" baseline="0">
                    <a:solidFill>
                      <a:schemeClr val="lt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a:solidFill>
                        <a:schemeClr val="dk1">
                          <a:lumMod val="50000"/>
                          <a:lumOff val="50000"/>
                        </a:schemeClr>
                      </a:solidFill>
                    </a:ln>
                    <a:effectLst/>
                  </c:spPr>
                </c15:leaderLines>
              </c:ext>
            </c:extLst>
          </c:dLbls>
          <c:cat>
            <c:strRef>
              <c:f>Sheet1!$A$2:$A$3</c:f>
              <c:strCache>
                <c:ptCount val="2"/>
                <c:pt idx="0">
                  <c:v>基本支出</c:v>
                </c:pt>
                <c:pt idx="1">
                  <c:v>项目支出</c:v>
                </c:pt>
              </c:strCache>
            </c:strRef>
          </c:cat>
          <c:val>
            <c:numRef>
              <c:f>Sheet1!$B$2:$B$3</c:f>
              <c:numCache>
                <c:formatCode>0.00%</c:formatCode>
                <c:ptCount val="2"/>
                <c:pt idx="0">
                  <c:v>0.699</c:v>
                </c:pt>
                <c:pt idx="1">
                  <c:v>0.301</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ayout/>
      <c:overlay val="0"/>
      <c:spPr>
        <a:solidFill>
          <a:schemeClr val="lt1">
            <a:lumMod val="95000"/>
            <a:alpha val="39000"/>
          </a:schemeClr>
        </a:solidFill>
        <a:ln>
          <a:noFill/>
        </a:ln>
        <a:effectLst/>
      </c:spPr>
      <c:txPr>
        <a:bodyPr rot="0" spcFirstLastPara="1" vertOverflow="ellipsis" vert="horz" wrap="square" anchor="ctr" anchorCtr="1"/>
        <a:lstStyle/>
        <a:p>
          <a:pPr>
            <a:defRPr lang="zh-CN" sz="900" b="0" i="0" u="none" strike="noStrike" kern="1200" baseline="0">
              <a:solidFill>
                <a:schemeClr val="dk1">
                  <a:lumMod val="75000"/>
                  <a:lumOff val="25000"/>
                </a:schemeClr>
              </a:solidFill>
              <a:latin typeface="+mn-lt"/>
              <a:ea typeface="+mn-ea"/>
              <a:cs typeface="+mn-cs"/>
            </a:defRPr>
          </a:pPr>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Office_10.8.0.5800_F1E327BC-269C-435d-A152-05C5408002CA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2024-02-21T03:23:00Z</dcterms:created>
  <dc:creator>DELL</dc:creator>
  <cp:lastModifiedBy>李凌</cp:lastModifiedBy>
  <dcterms:modified xsi:type="dcterms:W3CDTF">2024-03-14T03:56:52Z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2052-10.8.0.5800</vt:lpwstr>
  </property>
</Properties>
</file>