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sz w:val="36"/>
          <w:szCs w:val="36"/>
        </w:rPr>
      </w:pPr>
      <w:r>
        <w:rPr>
          <w:rFonts w:hint="eastAsia" w:ascii="黑体" w:hAnsi="黑体" w:eastAsia="黑体" w:cs="黑体"/>
          <w:sz w:val="36"/>
          <w:szCs w:val="36"/>
          <w:lang w:val="en-US" w:eastAsia="zh-CN"/>
        </w:rPr>
        <w:t>北京时尚控股有限责任公司</w:t>
      </w:r>
      <w:r>
        <w:rPr>
          <w:rFonts w:hint="eastAsia" w:ascii="黑体" w:hAnsi="黑体" w:eastAsia="黑体" w:cs="黑体"/>
          <w:sz w:val="36"/>
          <w:szCs w:val="36"/>
        </w:rPr>
        <w:t>整体绩效</w:t>
      </w:r>
      <w:r>
        <w:rPr>
          <w:rFonts w:hint="eastAsia" w:ascii="黑体" w:hAnsi="黑体" w:eastAsia="黑体" w:cs="黑体"/>
          <w:sz w:val="36"/>
          <w:szCs w:val="36"/>
          <w:lang w:eastAsia="zh-CN"/>
        </w:rPr>
        <w:t>评价</w:t>
      </w:r>
      <w:r>
        <w:rPr>
          <w:rFonts w:hint="eastAsia" w:ascii="黑体" w:hAnsi="黑体" w:eastAsia="黑体" w:cs="黑体"/>
          <w:sz w:val="36"/>
          <w:szCs w:val="36"/>
        </w:rPr>
        <w:t>报告</w:t>
      </w:r>
    </w:p>
    <w:p>
      <w:pPr>
        <w:jc w:val="center"/>
        <w:rPr>
          <w:rFonts w:hint="eastAsia" w:ascii="仿宋" w:hAnsi="仿宋" w:eastAsia="仿宋" w:cs="仿宋"/>
          <w:szCs w:val="30"/>
        </w:rPr>
      </w:pPr>
    </w:p>
    <w:p>
      <w:pPr>
        <w:spacing w:line="60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一、部门概况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（一）机构设置及职责工作任务情况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北京时尚控股有限责任公司前身为北京市纺织工业总公司，成立于1985年2月。1999年11月，经北京市人民政府批准授权进行资本经营，成为市政府出资的国有独资有限责任公司，现由北京市人民政府国有资产监督管理委员会履行出资人职能。本公司授权进行国有资产经营管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北京时尚控股有限责任公司所属事业单位主要职责：北京市新媒体技师学院（北京时尚控股有限责任公司党校）是北京时尚控股有限责任公司所属的一所集学制教育、职业培训、技能鉴定为一体的公办国家重点技工院校，学院主要职责是培养高级专业技术人才，促进职业技能教育发展，中、高等技术工人和中、高等技术人才培养，相关职业技能培训，职业教育专业教师及专门人才培养，开展党员、干部教育培训；北京市纺织服装职业技能培训学校主要职责为培养中高级服装技术工人，提高社会职业素质，开办各班次的短期职业培训班，通过技能培训使学员在学习后取得中、高级资格证书，为服装行业输送大批技术型人才，取得良好的社会效益。为社会培养技能人才，为构建和谐社会，稳定社会做出积极努力贡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公司内设党委办公室、董事会办公室、巡察办公室（合署）、财务管理部、审计监管部、法务管理部（信访办公室合署办公）、战略资产部、人力资源部、品牌发展部、科技信息部、文创管理部、企业运行部、安保管理部、党委组织部、党委宣传部、新闻中心（合署）、纪委监察专员办公室（合署）、老干部部、工会、团委20个职能部门。</w:t>
      </w:r>
      <w:r>
        <w:rPr>
          <w:rFonts w:hint="eastAsia" w:ascii="仿宋" w:hAnsi="仿宋" w:eastAsia="仿宋" w:cs="仿宋"/>
          <w:sz w:val="32"/>
          <w:szCs w:val="32"/>
          <w:lang w:val="en-US" w:eastAsia="zh-CN"/>
        </w:rPr>
        <w:t>2023年</w:t>
      </w:r>
      <w:r>
        <w:rPr>
          <w:rFonts w:hint="eastAsia" w:ascii="仿宋" w:hAnsi="仿宋" w:eastAsia="仿宋" w:cs="仿宋"/>
          <w:sz w:val="32"/>
          <w:szCs w:val="32"/>
        </w:rPr>
        <w:t>下属预算单位2户，分别为北京市新媒体技师学院（北京时尚控股有限责任公司党校）、北京市纺织服装职业技能培训学校。</w:t>
      </w:r>
    </w:p>
    <w:p>
      <w:pPr>
        <w:numPr>
          <w:ilvl w:val="0"/>
          <w:numId w:val="1"/>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部门整体绩效目标设立情况</w:t>
      </w:r>
    </w:p>
    <w:p>
      <w:pPr>
        <w:numPr>
          <w:ilvl w:val="0"/>
          <w:numId w:val="0"/>
        </w:numPr>
        <w:spacing w:line="600" w:lineRule="exac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依据所属事业单位主要职责设立部门整体绩效目标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目标与职责任务、事业发展规划匹配，目标合理可行。</w:t>
      </w:r>
      <w:r>
        <w:rPr>
          <w:rFonts w:hint="eastAsia" w:ascii="仿宋" w:hAnsi="仿宋" w:eastAsia="仿宋" w:cs="仿宋"/>
          <w:sz w:val="32"/>
          <w:szCs w:val="32"/>
          <w:highlight w:val="none"/>
        </w:rPr>
        <w:t>整体目标是（1）做好中职教育教学工作，落实学校发展规划和2021年度事业发展计划，保证学校教育教学等各项工作顺利开展，合理保证基本经费支出和项目经费支出进度，促进学生德育和专业知识全面发展，培养适合首都功能定位的高素质专业人才。实现学校的快速发展和全面提升；（2）做好行业干部教育，为行业培养高素质的管理人才。</w:t>
      </w:r>
    </w:p>
    <w:p>
      <w:pPr>
        <w:spacing w:line="60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二、当年预算执行情况</w:t>
      </w:r>
    </w:p>
    <w:p>
      <w:p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202</w:t>
      </w:r>
      <w:r>
        <w:rPr>
          <w:rFonts w:hint="eastAsia" w:ascii="仿宋" w:hAnsi="仿宋" w:eastAsia="仿宋" w:cs="仿宋"/>
          <w:color w:val="000000"/>
          <w:kern w:val="0"/>
          <w:sz w:val="32"/>
          <w:szCs w:val="32"/>
          <w:highlight w:val="none"/>
          <w:lang w:val="en-US" w:eastAsia="zh-CN"/>
        </w:rPr>
        <w:t>3</w:t>
      </w:r>
      <w:r>
        <w:rPr>
          <w:rFonts w:hint="eastAsia" w:ascii="仿宋" w:hAnsi="仿宋" w:eastAsia="仿宋" w:cs="仿宋"/>
          <w:color w:val="000000"/>
          <w:kern w:val="0"/>
          <w:sz w:val="32"/>
          <w:szCs w:val="32"/>
          <w:highlight w:val="none"/>
        </w:rPr>
        <w:t>年全年预算数</w:t>
      </w:r>
      <w:r>
        <w:rPr>
          <w:rFonts w:hint="eastAsia" w:ascii="仿宋" w:hAnsi="仿宋" w:eastAsia="仿宋" w:cs="仿宋"/>
          <w:color w:val="000000"/>
          <w:kern w:val="0"/>
          <w:sz w:val="32"/>
          <w:szCs w:val="32"/>
          <w:highlight w:val="none"/>
          <w:lang w:val="en-US" w:eastAsia="zh-CN"/>
        </w:rPr>
        <w:t>22781.52</w:t>
      </w:r>
      <w:r>
        <w:rPr>
          <w:rFonts w:hint="eastAsia" w:ascii="仿宋" w:hAnsi="仿宋" w:eastAsia="仿宋" w:cs="仿宋"/>
          <w:color w:val="000000"/>
          <w:kern w:val="0"/>
          <w:sz w:val="32"/>
          <w:szCs w:val="32"/>
          <w:highlight w:val="none"/>
        </w:rPr>
        <w:t>万元，其中，基本支出预算数</w:t>
      </w:r>
      <w:r>
        <w:rPr>
          <w:rFonts w:hint="eastAsia" w:ascii="仿宋" w:hAnsi="仿宋" w:eastAsia="仿宋" w:cs="仿宋"/>
          <w:color w:val="000000"/>
          <w:kern w:val="0"/>
          <w:sz w:val="32"/>
          <w:szCs w:val="32"/>
          <w:highlight w:val="none"/>
          <w:lang w:val="en-US" w:eastAsia="zh-CN"/>
        </w:rPr>
        <w:t>12585.61</w:t>
      </w:r>
      <w:r>
        <w:rPr>
          <w:rFonts w:hint="eastAsia" w:ascii="仿宋" w:hAnsi="仿宋" w:eastAsia="仿宋" w:cs="仿宋"/>
          <w:color w:val="000000"/>
          <w:kern w:val="0"/>
          <w:sz w:val="32"/>
          <w:szCs w:val="32"/>
          <w:highlight w:val="none"/>
        </w:rPr>
        <w:t>万元，项目支出预算数</w:t>
      </w:r>
      <w:r>
        <w:rPr>
          <w:rFonts w:hint="eastAsia" w:ascii="仿宋" w:hAnsi="仿宋" w:eastAsia="仿宋" w:cs="仿宋"/>
          <w:color w:val="000000"/>
          <w:kern w:val="0"/>
          <w:sz w:val="32"/>
          <w:szCs w:val="32"/>
          <w:highlight w:val="none"/>
          <w:lang w:val="en-US" w:eastAsia="zh-CN"/>
        </w:rPr>
        <w:t>10064.60</w:t>
      </w:r>
      <w:r>
        <w:rPr>
          <w:rFonts w:hint="eastAsia" w:ascii="仿宋" w:hAnsi="仿宋" w:eastAsia="仿宋" w:cs="仿宋"/>
          <w:color w:val="000000"/>
          <w:kern w:val="0"/>
          <w:sz w:val="32"/>
          <w:szCs w:val="32"/>
          <w:highlight w:val="none"/>
        </w:rPr>
        <w:t>万元，其他支出预算数</w:t>
      </w:r>
      <w:r>
        <w:rPr>
          <w:rFonts w:hint="eastAsia" w:ascii="仿宋" w:hAnsi="仿宋" w:eastAsia="仿宋" w:cs="仿宋"/>
          <w:color w:val="000000"/>
          <w:kern w:val="0"/>
          <w:sz w:val="32"/>
          <w:szCs w:val="32"/>
          <w:highlight w:val="none"/>
          <w:lang w:val="en-US" w:eastAsia="zh-CN"/>
        </w:rPr>
        <w:t>0</w:t>
      </w:r>
      <w:r>
        <w:rPr>
          <w:rFonts w:hint="eastAsia" w:ascii="仿宋" w:hAnsi="仿宋" w:eastAsia="仿宋" w:cs="仿宋"/>
          <w:color w:val="000000"/>
          <w:kern w:val="0"/>
          <w:sz w:val="32"/>
          <w:szCs w:val="32"/>
          <w:highlight w:val="none"/>
        </w:rPr>
        <w:t>万元</w:t>
      </w:r>
      <w:r>
        <w:rPr>
          <w:rFonts w:hint="eastAsia" w:ascii="仿宋" w:hAnsi="仿宋" w:eastAsia="仿宋" w:cs="仿宋"/>
          <w:color w:val="000000"/>
          <w:kern w:val="0"/>
          <w:sz w:val="32"/>
          <w:szCs w:val="32"/>
          <w:highlight w:val="none"/>
          <w:lang w:eastAsia="zh-CN"/>
        </w:rPr>
        <w:t>，年末非财政拨款结转和结余</w:t>
      </w:r>
      <w:r>
        <w:rPr>
          <w:rFonts w:hint="eastAsia" w:ascii="仿宋" w:hAnsi="仿宋" w:eastAsia="仿宋" w:cs="仿宋"/>
          <w:color w:val="000000"/>
          <w:kern w:val="0"/>
          <w:sz w:val="32"/>
          <w:szCs w:val="32"/>
          <w:highlight w:val="none"/>
          <w:lang w:val="en-US" w:eastAsia="zh-CN"/>
        </w:rPr>
        <w:t>数131.31万元</w:t>
      </w:r>
      <w:r>
        <w:rPr>
          <w:rFonts w:hint="eastAsia" w:ascii="仿宋" w:hAnsi="仿宋" w:eastAsia="仿宋" w:cs="仿宋"/>
          <w:color w:val="000000"/>
          <w:kern w:val="0"/>
          <w:sz w:val="32"/>
          <w:szCs w:val="32"/>
          <w:highlight w:val="none"/>
        </w:rPr>
        <w:t>。资金总体支出</w:t>
      </w:r>
      <w:r>
        <w:rPr>
          <w:rFonts w:hint="eastAsia" w:ascii="仿宋" w:hAnsi="仿宋" w:eastAsia="仿宋" w:cs="仿宋"/>
          <w:color w:val="000000"/>
          <w:kern w:val="0"/>
          <w:sz w:val="32"/>
          <w:szCs w:val="32"/>
          <w:highlight w:val="none"/>
          <w:lang w:val="en-US" w:eastAsia="zh-CN"/>
        </w:rPr>
        <w:t>15904.98</w:t>
      </w:r>
      <w:r>
        <w:rPr>
          <w:rFonts w:hint="eastAsia" w:ascii="仿宋" w:hAnsi="仿宋" w:eastAsia="仿宋" w:cs="仿宋"/>
          <w:color w:val="000000"/>
          <w:kern w:val="0"/>
          <w:sz w:val="32"/>
          <w:szCs w:val="32"/>
          <w:highlight w:val="none"/>
        </w:rPr>
        <w:t>元，其中，基本支出</w:t>
      </w:r>
      <w:r>
        <w:rPr>
          <w:rFonts w:hint="eastAsia" w:ascii="仿宋" w:hAnsi="仿宋" w:eastAsia="仿宋" w:cs="仿宋"/>
          <w:color w:val="000000"/>
          <w:kern w:val="0"/>
          <w:sz w:val="32"/>
          <w:szCs w:val="32"/>
          <w:highlight w:val="none"/>
          <w:lang w:val="en-US" w:eastAsia="zh-CN"/>
        </w:rPr>
        <w:t>9466.72</w:t>
      </w:r>
      <w:r>
        <w:rPr>
          <w:rFonts w:hint="eastAsia" w:ascii="仿宋" w:hAnsi="仿宋" w:eastAsia="仿宋" w:cs="仿宋"/>
          <w:color w:val="000000"/>
          <w:kern w:val="0"/>
          <w:sz w:val="32"/>
          <w:szCs w:val="32"/>
          <w:highlight w:val="none"/>
        </w:rPr>
        <w:t>万元，项目支出</w:t>
      </w:r>
      <w:r>
        <w:rPr>
          <w:rFonts w:hint="eastAsia" w:ascii="仿宋" w:hAnsi="仿宋" w:eastAsia="仿宋" w:cs="仿宋"/>
          <w:color w:val="000000"/>
          <w:kern w:val="0"/>
          <w:sz w:val="32"/>
          <w:szCs w:val="32"/>
          <w:highlight w:val="none"/>
          <w:lang w:val="en-US" w:eastAsia="zh-CN"/>
        </w:rPr>
        <w:t>6438.26</w:t>
      </w:r>
      <w:r>
        <w:rPr>
          <w:rFonts w:hint="eastAsia" w:ascii="仿宋" w:hAnsi="仿宋" w:eastAsia="仿宋" w:cs="仿宋"/>
          <w:color w:val="000000"/>
          <w:kern w:val="0"/>
          <w:sz w:val="32"/>
          <w:szCs w:val="32"/>
          <w:highlight w:val="none"/>
        </w:rPr>
        <w:t>万元，其他支出</w:t>
      </w:r>
      <w:r>
        <w:rPr>
          <w:rFonts w:hint="eastAsia" w:ascii="仿宋" w:hAnsi="仿宋" w:eastAsia="仿宋" w:cs="仿宋"/>
          <w:color w:val="000000"/>
          <w:kern w:val="0"/>
          <w:sz w:val="32"/>
          <w:szCs w:val="32"/>
          <w:highlight w:val="none"/>
          <w:lang w:val="en-US" w:eastAsia="zh-CN"/>
        </w:rPr>
        <w:t>0</w:t>
      </w:r>
      <w:r>
        <w:rPr>
          <w:rFonts w:hint="eastAsia" w:ascii="仿宋" w:hAnsi="仿宋" w:eastAsia="仿宋" w:cs="仿宋"/>
          <w:color w:val="000000"/>
          <w:kern w:val="0"/>
          <w:sz w:val="32"/>
          <w:szCs w:val="32"/>
          <w:highlight w:val="none"/>
        </w:rPr>
        <w:t>万元。预算执行率为</w:t>
      </w:r>
      <w:r>
        <w:rPr>
          <w:rFonts w:hint="eastAsia" w:ascii="仿宋" w:hAnsi="仿宋" w:eastAsia="仿宋" w:cs="仿宋"/>
          <w:color w:val="000000"/>
          <w:kern w:val="0"/>
          <w:sz w:val="32"/>
          <w:szCs w:val="32"/>
          <w:highlight w:val="none"/>
          <w:lang w:val="en-US" w:eastAsia="zh-CN"/>
        </w:rPr>
        <w:t>69.82%</w:t>
      </w:r>
      <w:r>
        <w:rPr>
          <w:rFonts w:hint="eastAsia" w:ascii="仿宋" w:hAnsi="仿宋" w:eastAsia="仿宋" w:cs="仿宋"/>
          <w:color w:val="000000"/>
          <w:kern w:val="0"/>
          <w:sz w:val="32"/>
          <w:szCs w:val="32"/>
          <w:highlight w:val="none"/>
        </w:rPr>
        <w:t>。</w:t>
      </w:r>
    </w:p>
    <w:p>
      <w:pPr>
        <w:spacing w:line="600" w:lineRule="exact"/>
        <w:ind w:left="105" w:leftChars="50" w:firstLine="480" w:firstLineChars="150"/>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三、整体绩效目标实现情况</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（一）产出完成情况分析</w:t>
      </w:r>
    </w:p>
    <w:p>
      <w:p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1.产出数量</w:t>
      </w:r>
    </w:p>
    <w:p>
      <w:p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产出指标数量指标足额保障率</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100%。</w:t>
      </w:r>
    </w:p>
    <w:p>
      <w:pPr>
        <w:spacing w:line="600" w:lineRule="exact"/>
        <w:ind w:left="105" w:leftChars="50" w:firstLine="480" w:firstLineChars="15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财政大力支持职业教育发展，根据技师学院发展规划，做好中职教育教学工作，财政足额保障职业教育发展。</w:t>
      </w:r>
    </w:p>
    <w:p>
      <w:pPr>
        <w:numPr>
          <w:ilvl w:val="0"/>
          <w:numId w:val="2"/>
        </w:num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产出质量</w:t>
      </w:r>
    </w:p>
    <w:p>
      <w:pPr>
        <w:numPr>
          <w:ilvl w:val="0"/>
          <w:numId w:val="0"/>
        </w:numPr>
        <w:spacing w:line="600" w:lineRule="exact"/>
        <w:ind w:leftChars="20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无</w:t>
      </w:r>
    </w:p>
    <w:p>
      <w:pPr>
        <w:numPr>
          <w:ilvl w:val="0"/>
          <w:numId w:val="2"/>
        </w:numPr>
        <w:spacing w:line="600" w:lineRule="exact"/>
        <w:ind w:left="105" w:leftChars="50" w:firstLine="480" w:firstLineChars="15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rPr>
        <w:t>产出进度</w:t>
      </w:r>
    </w:p>
    <w:p>
      <w:pPr>
        <w:spacing w:line="600" w:lineRule="exact"/>
        <w:ind w:left="105" w:leftChars="50" w:firstLine="480" w:firstLineChars="15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产出指标时效指标资金支付及时率&lt;100%。</w:t>
      </w:r>
    </w:p>
    <w:p>
      <w:pPr>
        <w:spacing w:line="600" w:lineRule="exact"/>
        <w:ind w:left="105" w:leftChars="50" w:firstLine="480" w:firstLineChars="15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部分项目是追加项目，未能及时支付，一定程度上影响了支付进度，未能完成100%支付及时率。</w:t>
      </w:r>
    </w:p>
    <w:p>
      <w:pPr>
        <w:numPr>
          <w:ilvl w:val="0"/>
          <w:numId w:val="2"/>
        </w:numPr>
        <w:spacing w:line="600" w:lineRule="exact"/>
        <w:ind w:left="105" w:leftChars="50" w:firstLine="480" w:firstLineChars="15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rPr>
        <w:t>产出成本</w:t>
      </w:r>
    </w:p>
    <w:p>
      <w:p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资金总体支出15904.98万元，年末结转结余资金6876.54万元。部分项目因疫情耽误，2023年陆续恢复开展实施，还未完成，按照财政要求结转到下年度使用，一定程度上影响了支付执行率，总体控制在总预算范围内。</w:t>
      </w:r>
    </w:p>
    <w:p>
      <w:pPr>
        <w:numPr>
          <w:ilvl w:val="0"/>
          <w:numId w:val="3"/>
        </w:num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效果实现情况分析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 xml:space="preserve">    通过2023年项目建设，保障了中职教育教学、行业干部培训等工作，以特高专业建设为基础，全面提升了专业群的品牌力和在行业中的地位，特别是对标学院十四五发展，一体两翼的规划，与项目建设的内涵保持了较高的一致性，能更好的助力十四五发展。完善基础设施建设、保障学生助学金及时足额发放、提升校企合作建设、承办组织国家队集训相关工作，保障技师学院职业教育基本运行需求，积极发展教育教学水平，提升职业教育发展水平，推进培养优秀学生，提高自身核心竞争力和美誉度，为社会输送更多优秀的技术人才。用人单位满意率大于85%，毕业生满意率大于95%，基本完成既定的绩效目标。</w:t>
      </w:r>
    </w:p>
    <w:p>
      <w:pPr>
        <w:spacing w:line="600" w:lineRule="exact"/>
        <w:ind w:left="105" w:leftChars="50" w:firstLine="480" w:firstLineChars="150"/>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四、预算管理情况分析</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（一）财务管理</w:t>
      </w:r>
    </w:p>
    <w:p>
      <w:p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1.财务管理制度健全性</w:t>
      </w:r>
    </w:p>
    <w:p>
      <w:p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我公司所属事业单位财务管理制度基本健全，能够对项目资金的安全性、有效性提供有力保障。财务预算支出审批执行逐级审批、分级把关的原则，对项目资金进行单独核算，专款专用，各项费用依据市财政局批复资金使用范围，以及有关财务规章制度规定的开支范围及开支标准执行，不存在截留、挤占、挪用项目资金情况，确保财政资金的使用符合相关政策法规要求</w:t>
      </w:r>
      <w:r>
        <w:rPr>
          <w:rFonts w:hint="eastAsia" w:ascii="仿宋" w:hAnsi="仿宋" w:eastAsia="仿宋" w:cs="仿宋"/>
          <w:color w:val="000000"/>
          <w:kern w:val="0"/>
          <w:sz w:val="32"/>
          <w:szCs w:val="32"/>
          <w:highlight w:val="none"/>
          <w:lang w:eastAsia="zh-CN"/>
        </w:rPr>
        <w:t>。</w:t>
      </w:r>
    </w:p>
    <w:p>
      <w:pPr>
        <w:numPr>
          <w:ilvl w:val="0"/>
          <w:numId w:val="4"/>
        </w:num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资金使用合规性和安全性</w:t>
      </w:r>
    </w:p>
    <w:p>
      <w:p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我公司所属事业单位项目资金支出管理较为严谨、规范</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rPr>
        <w:t>做到了专款专用，项目采取公开招投标进行采购的流程比较规范，措施比较到位，能够确保项目的顺利实施。项目过程管理基本规范，制定了相关管理制度，项目组织较为严谨，措施管理比较到位，项目监督、反馈、沟通、协调机制比较健全。</w:t>
      </w:r>
    </w:p>
    <w:p>
      <w:pPr>
        <w:numPr>
          <w:ilvl w:val="0"/>
          <w:numId w:val="4"/>
        </w:num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会计基础信息完善性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我公司所属事业单位会计基础信息比较完善，能够准确、及时、全面反映经济活动，提供真实、可靠的财会信息。</w:t>
      </w:r>
    </w:p>
    <w:p>
      <w:pPr>
        <w:numPr>
          <w:ilvl w:val="0"/>
          <w:numId w:val="5"/>
        </w:num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资产管理</w:t>
      </w:r>
    </w:p>
    <w:p>
      <w:pPr>
        <w:numPr>
          <w:ilvl w:val="0"/>
          <w:numId w:val="0"/>
        </w:numPr>
        <w:spacing w:line="600" w:lineRule="exact"/>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 xml:space="preserve">    1.严格资产日常管理。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eastAsia="zh-CN"/>
        </w:rPr>
        <w:t>依据北京市财政局《北京市市级行政事业单位国有资产处置管理办法》（京财资产[2015]33号）文件政策规定，我公司及所属二级单位严格执行文件中资产报废的定义、批准权限、报废流程等规定，严格资产处置审批程序，规范资产处置管理。</w:t>
      </w:r>
      <w:r>
        <w:rPr>
          <w:rFonts w:hint="eastAsia" w:ascii="仿宋" w:hAnsi="仿宋" w:eastAsia="仿宋" w:cs="仿宋"/>
          <w:color w:val="000000"/>
          <w:kern w:val="0"/>
          <w:sz w:val="32"/>
          <w:szCs w:val="32"/>
          <w:highlight w:val="none"/>
        </w:rPr>
        <w:t>资产使用是否规范</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lang w:val="en-US" w:eastAsia="zh-CN"/>
        </w:rPr>
        <w:t>无</w:t>
      </w:r>
      <w:r>
        <w:rPr>
          <w:rFonts w:hint="eastAsia" w:ascii="仿宋" w:hAnsi="仿宋" w:eastAsia="仿宋" w:cs="仿宋"/>
          <w:color w:val="000000"/>
          <w:kern w:val="0"/>
          <w:sz w:val="32"/>
          <w:szCs w:val="32"/>
          <w:highlight w:val="none"/>
        </w:rPr>
        <w:t>管理不当发生严重资产损失和丢失情况</w:t>
      </w:r>
      <w:r>
        <w:rPr>
          <w:rFonts w:hint="eastAsia" w:ascii="仿宋" w:hAnsi="仿宋" w:eastAsia="仿宋" w:cs="仿宋"/>
          <w:color w:val="000000"/>
          <w:kern w:val="0"/>
          <w:sz w:val="32"/>
          <w:szCs w:val="32"/>
          <w:highlight w:val="none"/>
          <w:lang w:eastAsia="zh-CN"/>
        </w:rPr>
        <w:t>。</w:t>
      </w:r>
    </w:p>
    <w:p>
      <w:pPr>
        <w:numPr>
          <w:ilvl w:val="0"/>
          <w:numId w:val="0"/>
        </w:numPr>
        <w:spacing w:line="600" w:lineRule="exact"/>
        <w:ind w:leftChars="20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 xml:space="preserve">  2.严格控制新增资产配置预算。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lang w:eastAsia="zh-CN"/>
        </w:rPr>
        <w:t>依据</w:t>
      </w:r>
      <w:r>
        <w:rPr>
          <w:rFonts w:hint="eastAsia" w:ascii="仿宋" w:hAnsi="仿宋" w:eastAsia="仿宋" w:cs="仿宋"/>
          <w:color w:val="000000"/>
          <w:kern w:val="0"/>
          <w:sz w:val="32"/>
          <w:szCs w:val="32"/>
          <w:highlight w:val="none"/>
          <w:lang w:val="en-US" w:eastAsia="zh-CN"/>
        </w:rPr>
        <w:t>《北京市市级行政事业单位国有资产配置管理办法》（京财资产【2015】129号）</w:t>
      </w:r>
      <w:r>
        <w:rPr>
          <w:rFonts w:hint="eastAsia" w:ascii="仿宋" w:hAnsi="仿宋" w:eastAsia="仿宋" w:cs="仿宋"/>
          <w:color w:val="000000"/>
          <w:kern w:val="0"/>
          <w:sz w:val="32"/>
          <w:szCs w:val="32"/>
          <w:highlight w:val="none"/>
          <w:lang w:eastAsia="zh-CN"/>
        </w:rPr>
        <w:t>文件政策规定，</w:t>
      </w:r>
      <w:r>
        <w:rPr>
          <w:rFonts w:hint="eastAsia" w:ascii="仿宋" w:hAnsi="仿宋" w:eastAsia="仿宋" w:cs="仿宋"/>
          <w:color w:val="000000"/>
          <w:kern w:val="0"/>
          <w:sz w:val="32"/>
          <w:szCs w:val="32"/>
          <w:highlight w:val="none"/>
          <w:lang w:val="en-US" w:eastAsia="zh-CN"/>
        </w:rPr>
        <w:t>一是严控新购资产。按照“先调剂现有存量实物资产、后申报预算资金”的原则，所属事业单位的新增资产配置需求，优先调剂使用符合条件的“公物仓”资产；严格控制和执行资产配置标准，暂时没有标准的要从严控制、避免浪费。二是细化资产购置预算编制。对涉及资产配置标准的日常办公类资产购置项目，要在资产管理信息系统填写购置计划表，经主管部门审核后提交。不</w:t>
      </w:r>
      <w:r>
        <w:rPr>
          <w:rFonts w:hint="eastAsia" w:ascii="仿宋" w:hAnsi="仿宋" w:eastAsia="仿宋" w:cs="仿宋"/>
          <w:color w:val="000000"/>
          <w:kern w:val="0"/>
          <w:sz w:val="32"/>
          <w:szCs w:val="32"/>
          <w:highlight w:val="none"/>
        </w:rPr>
        <w:t>存在超标准配置资产</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color w:val="000000"/>
          <w:kern w:val="0"/>
          <w:sz w:val="32"/>
          <w:szCs w:val="32"/>
          <w:highlight w:val="none"/>
          <w:lang w:eastAsia="zh-CN"/>
        </w:rPr>
      </w:pPr>
      <w:r>
        <w:rPr>
          <w:rFonts w:hint="eastAsia" w:ascii="仿宋" w:hAnsi="仿宋" w:eastAsia="仿宋" w:cs="仿宋"/>
          <w:color w:val="000000"/>
          <w:kern w:val="0"/>
          <w:sz w:val="32"/>
          <w:szCs w:val="32"/>
          <w:highlight w:val="none"/>
          <w:lang w:val="en-US" w:eastAsia="zh-CN"/>
        </w:rPr>
        <w:t xml:space="preserve">    3. 强化国有资产出租、出借管理。我公司所属事业单位无出租出借及</w:t>
      </w:r>
      <w:r>
        <w:rPr>
          <w:rFonts w:hint="eastAsia" w:ascii="仿宋" w:hAnsi="仿宋" w:eastAsia="仿宋" w:cs="仿宋"/>
          <w:color w:val="000000"/>
          <w:kern w:val="0"/>
          <w:sz w:val="32"/>
          <w:szCs w:val="32"/>
          <w:highlight w:val="none"/>
        </w:rPr>
        <w:t>对外投资行为</w:t>
      </w:r>
      <w:r>
        <w:rPr>
          <w:rFonts w:hint="eastAsia" w:ascii="仿宋" w:hAnsi="仿宋" w:eastAsia="仿宋" w:cs="仿宋"/>
          <w:color w:val="000000"/>
          <w:kern w:val="0"/>
          <w:sz w:val="32"/>
          <w:szCs w:val="32"/>
          <w:highlight w:val="none"/>
          <w:lang w:eastAsia="zh-CN"/>
        </w:rPr>
        <w:t>。</w:t>
      </w:r>
    </w:p>
    <w:p>
      <w:pPr>
        <w:numPr>
          <w:ilvl w:val="0"/>
          <w:numId w:val="0"/>
        </w:numPr>
        <w:spacing w:line="600" w:lineRule="exact"/>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 xml:space="preserve">    4. 加强政府采购管理。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 xml:space="preserve">按照政府采购集中采购目录标准，各单位均要做到应采尽采，并如实编报政府采购预算；没有政府采购预算的，一律不得开展政府采购活动。严禁采购明显超出办公需求的高档、高配置产品和服务。按市财政文件要求支持本国产品、支持科技创新、中小微企业发展等，通过预留采购份额支持扶贫产品。 </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（三）绩效管理</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为提高财政资金使用效益，合理配置公共财政资源，根据《中华人民共和国预算法》、《北京市项目支出绩效评价管理办法》（京财绩效〔2020〕2146号）、《北京市财政局关于开展2022年全面预算绩效管理工作的通知》（京财绩效〔2022〕669号），依照北京市财政局历年绩效管理工作计划，我</w:t>
      </w:r>
      <w:r>
        <w:rPr>
          <w:rFonts w:hint="eastAsia" w:ascii="仿宋" w:hAnsi="仿宋" w:eastAsia="仿宋" w:cs="仿宋"/>
          <w:sz w:val="32"/>
          <w:szCs w:val="32"/>
          <w:highlight w:val="none"/>
          <w:lang w:val="en-US" w:eastAsia="zh-CN"/>
        </w:rPr>
        <w:t>公司</w:t>
      </w:r>
      <w:r>
        <w:rPr>
          <w:rFonts w:hint="eastAsia" w:ascii="仿宋" w:hAnsi="仿宋" w:eastAsia="仿宋" w:cs="仿宋"/>
          <w:sz w:val="32"/>
          <w:szCs w:val="32"/>
          <w:highlight w:val="none"/>
        </w:rPr>
        <w:t>将在接到财政通知后，按要求开展绩效自评、重点项目绩效评价、全成本绩效分析、绩效跟踪等工作。</w:t>
      </w:r>
    </w:p>
    <w:p>
      <w:pPr>
        <w:numPr>
          <w:ilvl w:val="0"/>
          <w:numId w:val="6"/>
        </w:numPr>
        <w:spacing w:line="600" w:lineRule="exact"/>
        <w:ind w:left="105" w:leftChars="50" w:firstLine="480" w:firstLineChars="15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加强绩效目标编制管理。按照“谁申请资金，谁设定目标”的原则，所有项目均需按照预算管理一体化系统设定的格式要求，规范填报绩效目标</w:t>
      </w:r>
      <w:r>
        <w:rPr>
          <w:rFonts w:hint="eastAsia" w:ascii="仿宋" w:hAnsi="仿宋" w:eastAsia="仿宋" w:cs="仿宋"/>
          <w:sz w:val="32"/>
          <w:szCs w:val="32"/>
          <w:highlight w:val="none"/>
          <w:lang w:eastAsia="zh-CN"/>
        </w:rPr>
        <w:t>。</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落实绩效管理主体责任。一是各部门作为预算绩效管理的责任主体，及时制定或完善本部门本单位全面实施预算绩效管理的制度，对预算执行和成本实行监控和评价，及时开展部门自评和绩效运行监控工作，督促落实成本管控和产出效益。二是强化部门和基层的成本管控责任。按照“谁支出、谁负责成本控制”的原则，各部门各单位要将成本理念和方法贯穿于预算管理各环节，按照不同项目分类推进成本管控，逐步完善本行业本领域的支出标准体系。三是继续将成本绩效向重点领域深入。深化成本绩效管理改革，通过纵横对比分析合理确定成本绩效基线，完善成本绩效考核机制。</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.加强绩效结果应用。将市级部门绩效指标体系建设、项目成本控制、部门自评、部门整体绩效评价、绩效运行监控、财政绩效评价结果和财政事前评估结果纳入</w:t>
      </w:r>
      <w:r>
        <w:rPr>
          <w:rFonts w:hint="eastAsia" w:ascii="仿宋" w:hAnsi="仿宋" w:eastAsia="仿宋" w:cs="仿宋"/>
          <w:sz w:val="32"/>
          <w:szCs w:val="32"/>
          <w:highlight w:val="none"/>
          <w:lang w:val="en-US" w:eastAsia="zh-CN"/>
        </w:rPr>
        <w:t>日常工作，及时</w:t>
      </w:r>
      <w:r>
        <w:rPr>
          <w:rFonts w:hint="eastAsia" w:ascii="仿宋" w:hAnsi="仿宋" w:eastAsia="仿宋" w:cs="仿宋"/>
          <w:sz w:val="32"/>
          <w:szCs w:val="32"/>
          <w:highlight w:val="none"/>
        </w:rPr>
        <w:t>考核</w:t>
      </w:r>
      <w:r>
        <w:rPr>
          <w:rFonts w:hint="eastAsia" w:ascii="仿宋" w:hAnsi="仿宋" w:eastAsia="仿宋" w:cs="仿宋"/>
          <w:sz w:val="32"/>
          <w:szCs w:val="32"/>
          <w:highlight w:val="none"/>
          <w:lang w:eastAsia="zh-CN"/>
        </w:rPr>
        <w:t>。</w:t>
      </w:r>
    </w:p>
    <w:p>
      <w:pPr>
        <w:numPr>
          <w:ilvl w:val="0"/>
          <w:numId w:val="7"/>
        </w:num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结转结余率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我公司202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年结转结余率</w:t>
      </w:r>
      <w:r>
        <w:rPr>
          <w:rFonts w:hint="eastAsia" w:ascii="仿宋" w:hAnsi="仿宋" w:eastAsia="仿宋" w:cs="仿宋"/>
          <w:sz w:val="32"/>
          <w:szCs w:val="32"/>
          <w:highlight w:val="none"/>
          <w:lang w:val="en-US" w:eastAsia="zh-CN"/>
        </w:rPr>
        <w:t>30.18</w:t>
      </w:r>
      <w:r>
        <w:rPr>
          <w:rFonts w:hint="eastAsia" w:ascii="仿宋" w:hAnsi="仿宋" w:eastAsia="仿宋" w:cs="仿宋"/>
          <w:sz w:val="32"/>
          <w:szCs w:val="32"/>
          <w:highlight w:val="none"/>
        </w:rPr>
        <w:t>%，比202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年的27.10%增加</w:t>
      </w:r>
      <w:r>
        <w:rPr>
          <w:rFonts w:hint="eastAsia" w:ascii="仿宋" w:hAnsi="仿宋" w:eastAsia="仿宋" w:cs="仿宋"/>
          <w:sz w:val="32"/>
          <w:szCs w:val="32"/>
          <w:highlight w:val="none"/>
          <w:lang w:val="en-US" w:eastAsia="zh-CN"/>
        </w:rPr>
        <w:t>3.08</w:t>
      </w:r>
      <w:r>
        <w:rPr>
          <w:rFonts w:hint="eastAsia" w:ascii="仿宋" w:hAnsi="仿宋" w:eastAsia="仿宋" w:cs="仿宋"/>
          <w:sz w:val="32"/>
          <w:szCs w:val="32"/>
          <w:highlight w:val="none"/>
        </w:rPr>
        <w:t>个百分点，主要原因</w:t>
      </w:r>
      <w:r>
        <w:rPr>
          <w:rFonts w:hint="eastAsia" w:ascii="仿宋" w:hAnsi="仿宋" w:eastAsia="仿宋" w:cs="仿宋"/>
          <w:sz w:val="32"/>
          <w:szCs w:val="32"/>
          <w:highlight w:val="none"/>
          <w:lang w:val="en-US" w:eastAsia="zh-CN"/>
        </w:rPr>
        <w:t>一是</w:t>
      </w:r>
      <w:r>
        <w:rPr>
          <w:rFonts w:hint="eastAsia" w:ascii="仿宋" w:hAnsi="仿宋" w:eastAsia="仿宋" w:cs="仿宋"/>
          <w:sz w:val="32"/>
          <w:szCs w:val="32"/>
          <w:highlight w:val="none"/>
        </w:rPr>
        <w:t>所属</w:t>
      </w:r>
      <w:r>
        <w:rPr>
          <w:rFonts w:hint="eastAsia" w:ascii="仿宋" w:hAnsi="仿宋" w:eastAsia="仿宋" w:cs="仿宋"/>
          <w:sz w:val="32"/>
          <w:szCs w:val="32"/>
          <w:highlight w:val="none"/>
          <w:lang w:val="en-US" w:eastAsia="zh-CN"/>
        </w:rPr>
        <w:t>事业单位项目陆续恢复执行；二是</w:t>
      </w:r>
      <w:r>
        <w:rPr>
          <w:rFonts w:hint="eastAsia" w:ascii="仿宋" w:hAnsi="仿宋" w:eastAsia="仿宋" w:cs="仿宋"/>
          <w:sz w:val="32"/>
          <w:szCs w:val="32"/>
          <w:highlight w:val="none"/>
        </w:rPr>
        <w:t>所属</w:t>
      </w:r>
      <w:r>
        <w:rPr>
          <w:rFonts w:hint="eastAsia" w:ascii="仿宋" w:hAnsi="仿宋" w:eastAsia="仿宋" w:cs="仿宋"/>
          <w:sz w:val="32"/>
          <w:szCs w:val="32"/>
          <w:highlight w:val="none"/>
          <w:lang w:val="en-US" w:eastAsia="zh-CN"/>
        </w:rPr>
        <w:t>事业单位追加项目较多</w:t>
      </w:r>
      <w:r>
        <w:rPr>
          <w:rFonts w:hint="eastAsia" w:ascii="仿宋" w:hAnsi="仿宋" w:eastAsia="仿宋" w:cs="仿宋"/>
          <w:sz w:val="32"/>
          <w:szCs w:val="32"/>
          <w:highlight w:val="none"/>
        </w:rPr>
        <w:t>。</w:t>
      </w:r>
    </w:p>
    <w:p>
      <w:pPr>
        <w:numPr>
          <w:ilvl w:val="0"/>
          <w:numId w:val="7"/>
        </w:num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部门预决算差异率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我公司202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年年初预算</w:t>
      </w:r>
      <w:r>
        <w:rPr>
          <w:rFonts w:hint="eastAsia" w:ascii="仿宋" w:hAnsi="仿宋" w:eastAsia="仿宋" w:cs="仿宋"/>
          <w:sz w:val="32"/>
          <w:szCs w:val="32"/>
          <w:highlight w:val="none"/>
          <w:lang w:val="en-US" w:eastAsia="zh-CN"/>
        </w:rPr>
        <w:t>14883.62</w:t>
      </w:r>
      <w:r>
        <w:rPr>
          <w:rFonts w:hint="eastAsia" w:ascii="仿宋" w:hAnsi="仿宋" w:eastAsia="仿宋" w:cs="仿宋"/>
          <w:sz w:val="32"/>
          <w:szCs w:val="32"/>
          <w:highlight w:val="none"/>
        </w:rPr>
        <w:t>万元，决算数</w:t>
      </w:r>
      <w:r>
        <w:rPr>
          <w:rFonts w:hint="eastAsia" w:ascii="仿宋" w:hAnsi="仿宋" w:eastAsia="仿宋" w:cs="仿宋"/>
          <w:sz w:val="32"/>
          <w:szCs w:val="32"/>
          <w:highlight w:val="none"/>
          <w:lang w:val="en-US" w:eastAsia="zh-CN"/>
        </w:rPr>
        <w:t>15904.98</w:t>
      </w:r>
      <w:r>
        <w:rPr>
          <w:rFonts w:hint="eastAsia" w:ascii="仿宋" w:hAnsi="仿宋" w:eastAsia="仿宋" w:cs="仿宋"/>
          <w:sz w:val="32"/>
          <w:szCs w:val="32"/>
          <w:highlight w:val="none"/>
        </w:rPr>
        <w:t>万元，部门预决算差异率</w:t>
      </w:r>
      <w:r>
        <w:rPr>
          <w:rFonts w:hint="eastAsia" w:ascii="仿宋" w:hAnsi="仿宋" w:eastAsia="仿宋" w:cs="仿宋"/>
          <w:sz w:val="32"/>
          <w:szCs w:val="32"/>
          <w:highlight w:val="none"/>
          <w:lang w:val="en-US" w:eastAsia="zh-CN"/>
        </w:rPr>
        <w:t>6.56</w:t>
      </w:r>
      <w:r>
        <w:rPr>
          <w:rFonts w:hint="eastAsia" w:ascii="仿宋" w:hAnsi="仿宋" w:eastAsia="仿宋" w:cs="仿宋"/>
          <w:sz w:val="32"/>
          <w:szCs w:val="32"/>
          <w:highlight w:val="none"/>
        </w:rPr>
        <w:t>%，部门预算编制准确度较高。</w:t>
      </w:r>
    </w:p>
    <w:p>
      <w:pPr>
        <w:spacing w:line="600" w:lineRule="exact"/>
        <w:ind w:left="105" w:leftChars="50" w:firstLine="480" w:firstLineChars="150"/>
        <w:rPr>
          <w:rFonts w:hint="eastAsia" w:ascii="黑体" w:hAnsi="黑体" w:eastAsia="黑体" w:cs="黑体"/>
          <w:sz w:val="32"/>
          <w:szCs w:val="32"/>
          <w:highlight w:val="none"/>
        </w:rPr>
      </w:pPr>
      <w:r>
        <w:rPr>
          <w:rFonts w:hint="eastAsia" w:ascii="黑体" w:hAnsi="黑体" w:eastAsia="黑体" w:cs="黑体"/>
          <w:sz w:val="32"/>
          <w:szCs w:val="32"/>
          <w:highlight w:val="none"/>
        </w:rPr>
        <w:t>五、总体评价结论</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（一）评价得分情况</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我公司202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年部门整体绩效评价得分8</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分，评价结果良。其中：当年预算执行情况分值20分，得分</w:t>
      </w:r>
      <w:r>
        <w:rPr>
          <w:rFonts w:hint="eastAsia" w:ascii="仿宋" w:hAnsi="仿宋" w:eastAsia="仿宋" w:cs="仿宋"/>
          <w:sz w:val="32"/>
          <w:szCs w:val="32"/>
          <w:highlight w:val="none"/>
          <w:lang w:val="en-US" w:eastAsia="zh-CN"/>
        </w:rPr>
        <w:t>13分</w:t>
      </w:r>
      <w:bookmarkStart w:id="1" w:name="_GoBack"/>
      <w:bookmarkEnd w:id="1"/>
      <w:r>
        <w:rPr>
          <w:rFonts w:hint="eastAsia" w:ascii="仿宋" w:hAnsi="仿宋" w:eastAsia="仿宋" w:cs="仿宋"/>
          <w:sz w:val="32"/>
          <w:szCs w:val="32"/>
          <w:highlight w:val="none"/>
        </w:rPr>
        <w:t>；整体绩效目标实现情况分值60分，得分</w:t>
      </w:r>
      <w:r>
        <w:rPr>
          <w:rFonts w:hint="eastAsia" w:ascii="仿宋" w:hAnsi="仿宋" w:eastAsia="仿宋" w:cs="仿宋"/>
          <w:sz w:val="32"/>
          <w:szCs w:val="32"/>
          <w:highlight w:val="none"/>
          <w:lang w:val="en-US" w:eastAsia="zh-CN"/>
        </w:rPr>
        <w:t>56</w:t>
      </w:r>
      <w:r>
        <w:rPr>
          <w:rFonts w:hint="eastAsia" w:ascii="仿宋" w:hAnsi="仿宋" w:eastAsia="仿宋" w:cs="仿宋"/>
          <w:sz w:val="32"/>
          <w:szCs w:val="32"/>
          <w:highlight w:val="none"/>
        </w:rPr>
        <w:t>分；预算管理情况分值20分，得分</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分。</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（二）存在的问题及原因分析</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绩效目标编制不细化</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不明确、不合理、量化程度不足</w:t>
      </w:r>
      <w:r>
        <w:rPr>
          <w:rFonts w:hint="eastAsia" w:ascii="仿宋" w:hAnsi="仿宋" w:eastAsia="仿宋" w:cs="仿宋"/>
          <w:sz w:val="32"/>
          <w:szCs w:val="32"/>
          <w:highlight w:val="none"/>
        </w:rPr>
        <w:t>；</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项目绩效管理评价有待加强；</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虽然按照市财政要求进行了项目资金绩效评价，但未将评价结果有效运用到项目预算编制工作中，评价结果运用有待提高。</w:t>
      </w:r>
    </w:p>
    <w:p>
      <w:pPr>
        <w:numPr>
          <w:ilvl w:val="0"/>
          <w:numId w:val="0"/>
        </w:numPr>
        <w:spacing w:line="600" w:lineRule="exact"/>
        <w:rPr>
          <w:rFonts w:hint="eastAsia" w:ascii="黑体" w:hAnsi="黑体" w:eastAsia="黑体" w:cs="黑体"/>
          <w:color w:val="000000"/>
          <w:kern w:val="0"/>
          <w:sz w:val="32"/>
          <w:szCs w:val="32"/>
          <w:highlight w:val="none"/>
        </w:rPr>
      </w:pPr>
      <w:r>
        <w:rPr>
          <w:rFonts w:hint="eastAsia" w:ascii="仿宋" w:hAnsi="仿宋" w:eastAsia="仿宋" w:cs="仿宋"/>
          <w:color w:val="000000"/>
          <w:kern w:val="0"/>
          <w:sz w:val="32"/>
          <w:szCs w:val="32"/>
          <w:highlight w:val="none"/>
          <w:lang w:val="en-US" w:eastAsia="zh-CN"/>
        </w:rPr>
        <w:t xml:space="preserve">    </w:t>
      </w:r>
      <w:r>
        <w:rPr>
          <w:rFonts w:hint="eastAsia" w:ascii="黑体" w:hAnsi="黑体" w:eastAsia="黑体" w:cs="黑体"/>
          <w:color w:val="000000"/>
          <w:kern w:val="0"/>
          <w:sz w:val="32"/>
          <w:szCs w:val="32"/>
          <w:highlight w:val="none"/>
          <w:lang w:val="en-US" w:eastAsia="zh-CN"/>
        </w:rPr>
        <w:t>六、</w:t>
      </w:r>
      <w:r>
        <w:rPr>
          <w:rFonts w:hint="eastAsia" w:ascii="黑体" w:hAnsi="黑体" w:eastAsia="黑体" w:cs="黑体"/>
          <w:color w:val="000000"/>
          <w:kern w:val="0"/>
          <w:sz w:val="32"/>
          <w:szCs w:val="32"/>
          <w:highlight w:val="none"/>
        </w:rPr>
        <w:t>措施建议</w:t>
      </w:r>
    </w:p>
    <w:p>
      <w:pPr>
        <w:numPr>
          <w:ilvl w:val="0"/>
          <w:numId w:val="0"/>
        </w:numPr>
        <w:spacing w:line="600" w:lineRule="exact"/>
        <w:ind w:firstLine="64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1.</w:t>
      </w:r>
      <w:r>
        <w:rPr>
          <w:rFonts w:hint="eastAsia" w:ascii="仿宋" w:hAnsi="仿宋" w:eastAsia="仿宋" w:cs="仿宋"/>
          <w:color w:val="000000"/>
          <w:kern w:val="0"/>
          <w:sz w:val="32"/>
          <w:szCs w:val="32"/>
          <w:highlight w:val="none"/>
        </w:rPr>
        <w:t>强化预算基础编制工作，预算编制要结合实际及上年执行情况，</w:t>
      </w:r>
      <w:r>
        <w:rPr>
          <w:rFonts w:hint="eastAsia" w:ascii="仿宋" w:hAnsi="仿宋" w:eastAsia="仿宋" w:cs="仿宋"/>
          <w:color w:val="000000"/>
          <w:kern w:val="0"/>
          <w:sz w:val="32"/>
          <w:szCs w:val="32"/>
          <w:highlight w:val="none"/>
          <w:lang w:val="en-US" w:eastAsia="zh-CN"/>
        </w:rPr>
        <w:t>明确、</w:t>
      </w:r>
      <w:r>
        <w:rPr>
          <w:rFonts w:hint="eastAsia" w:ascii="仿宋" w:hAnsi="仿宋" w:eastAsia="仿宋" w:cs="仿宋"/>
          <w:color w:val="000000"/>
          <w:kern w:val="0"/>
          <w:sz w:val="32"/>
          <w:szCs w:val="32"/>
          <w:highlight w:val="none"/>
        </w:rPr>
        <w:t>科学、合理确定支出预算，并按经济用途逐级细化分类，真正做到预算编制精细化、科学化。</w:t>
      </w:r>
    </w:p>
    <w:p>
      <w:pPr>
        <w:numPr>
          <w:ilvl w:val="0"/>
          <w:numId w:val="0"/>
        </w:numPr>
        <w:spacing w:line="600" w:lineRule="exact"/>
        <w:ind w:firstLine="64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2.</w:t>
      </w:r>
      <w:r>
        <w:rPr>
          <w:rFonts w:hint="eastAsia" w:ascii="仿宋" w:hAnsi="仿宋" w:eastAsia="仿宋" w:cs="仿宋"/>
          <w:color w:val="000000"/>
          <w:kern w:val="0"/>
          <w:sz w:val="32"/>
          <w:szCs w:val="32"/>
          <w:highlight w:val="none"/>
        </w:rPr>
        <w:t>深化预算执行率与预算编制有机结合。将上一年预算执行情况作为下一年预算编制的重要依据，对预算执行缓慢的部门，严格控制其下一年预算资金。</w:t>
      </w:r>
    </w:p>
    <w:p>
      <w:pPr>
        <w:numPr>
          <w:ilvl w:val="0"/>
          <w:numId w:val="0"/>
        </w:numPr>
        <w:spacing w:line="600" w:lineRule="exact"/>
        <w:ind w:firstLine="64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3.</w:t>
      </w:r>
      <w:r>
        <w:rPr>
          <w:rFonts w:hint="eastAsia" w:ascii="仿宋" w:hAnsi="仿宋" w:eastAsia="仿宋" w:cs="仿宋"/>
          <w:color w:val="000000"/>
          <w:kern w:val="0"/>
          <w:sz w:val="32"/>
          <w:szCs w:val="32"/>
          <w:highlight w:val="none"/>
        </w:rPr>
        <w:t>加强对项目资金评审及绩效考核。强化绩效跟踪，细化绩效评价，对项目资金实行全过程监督，全面推进预算绩效管理工作，提高项目资金的预算执行率和使用效益。</w:t>
      </w:r>
    </w:p>
    <w:p>
      <w:pPr>
        <w:pStyle w:val="2"/>
        <w:rPr>
          <w:rFonts w:hint="eastAsia" w:ascii="黑体" w:hAnsi="黑体" w:eastAsia="黑体" w:cs="黑体"/>
          <w:sz w:val="32"/>
          <w:szCs w:val="32"/>
          <w:highlight w:val="none"/>
        </w:rPr>
      </w:pPr>
      <w:bookmarkStart w:id="0" w:name="_Toc103006301"/>
      <w:r>
        <w:rPr>
          <w:rFonts w:hint="eastAsia" w:ascii="黑体" w:hAnsi="黑体" w:eastAsia="黑体" w:cs="黑体"/>
          <w:sz w:val="32"/>
          <w:szCs w:val="32"/>
          <w:highlight w:val="none"/>
        </w:rPr>
        <w:t>七、附件</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 w:hAnsi="仿宋" w:eastAsia="仿宋" w:cs="仿宋"/>
          <w:sz w:val="32"/>
          <w:szCs w:val="32"/>
          <w:highlight w:val="none"/>
          <w:lang w:eastAsia="zh-CN"/>
        </w:rPr>
        <w:sectPr>
          <w:footerReference r:id="rId3" w:type="default"/>
          <w:pgSz w:w="11906" w:h="16838"/>
          <w:pgMar w:top="1440" w:right="1800" w:bottom="1440" w:left="1800" w:header="851" w:footer="964" w:gutter="0"/>
          <w:pgNumType w:fmt="decimal" w:start="1"/>
          <w:cols w:space="425" w:num="1"/>
          <w:docGrid w:type="lines" w:linePitch="435" w:charSpace="0"/>
        </w:sect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年部门整体绩效评价指标体系评分</w:t>
      </w:r>
      <w:r>
        <w:rPr>
          <w:rFonts w:hint="eastAsia" w:ascii="仿宋" w:hAnsi="仿宋" w:eastAsia="仿宋" w:cs="仿宋"/>
          <w:sz w:val="32"/>
          <w:szCs w:val="32"/>
          <w:highlight w:val="none"/>
          <w:lang w:eastAsia="zh-CN"/>
        </w:rPr>
        <w:t>表</w:t>
      </w:r>
    </w:p>
    <w:p>
      <w:pPr>
        <w:spacing w:line="560" w:lineRule="exact"/>
        <w:jc w:val="left"/>
        <w:rPr>
          <w:rFonts w:hint="default"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eastAsia="zh-CN"/>
        </w:rPr>
        <w:t>附件</w:t>
      </w:r>
      <w:r>
        <w:rPr>
          <w:rFonts w:hint="eastAsia" w:ascii="方正黑体_GBK" w:hAnsi="方正黑体_GBK" w:eastAsia="方正黑体_GBK" w:cs="方正黑体_GBK"/>
          <w:sz w:val="32"/>
          <w:lang w:val="en-US" w:eastAsia="zh-CN"/>
        </w:rPr>
        <w:t>4-1</w:t>
      </w:r>
    </w:p>
    <w:tbl>
      <w:tblPr>
        <w:tblStyle w:val="7"/>
        <w:tblW w:w="14174" w:type="dxa"/>
        <w:tblInd w:w="0" w:type="dxa"/>
        <w:tblLayout w:type="fixed"/>
        <w:tblCellMar>
          <w:top w:w="0" w:type="dxa"/>
          <w:left w:w="108" w:type="dxa"/>
          <w:bottom w:w="0" w:type="dxa"/>
          <w:right w:w="108" w:type="dxa"/>
        </w:tblCellMar>
      </w:tblPr>
      <w:tblGrid>
        <w:gridCol w:w="1201"/>
        <w:gridCol w:w="1205"/>
        <w:gridCol w:w="916"/>
        <w:gridCol w:w="927"/>
        <w:gridCol w:w="935"/>
        <w:gridCol w:w="916"/>
        <w:gridCol w:w="916"/>
        <w:gridCol w:w="3629"/>
        <w:gridCol w:w="3529"/>
      </w:tblGrid>
      <w:tr>
        <w:tblPrEx>
          <w:tblLayout w:type="fixed"/>
          <w:tblCellMar>
            <w:top w:w="0" w:type="dxa"/>
            <w:left w:w="108" w:type="dxa"/>
            <w:bottom w:w="0" w:type="dxa"/>
            <w:right w:w="108" w:type="dxa"/>
          </w:tblCellMar>
        </w:tblPrEx>
        <w:trPr>
          <w:cantSplit/>
          <w:trHeight w:val="90" w:hRule="atLeast"/>
        </w:trPr>
        <w:tc>
          <w:tcPr>
            <w:tcW w:w="14174" w:type="dxa"/>
            <w:gridSpan w:val="9"/>
            <w:tcBorders>
              <w:top w:val="nil"/>
              <w:left w:val="nil"/>
              <w:bottom w:val="single" w:color="auto" w:sz="4" w:space="0"/>
              <w:right w:val="nil"/>
            </w:tcBorders>
            <w:vAlign w:val="bottom"/>
          </w:tcPr>
          <w:p>
            <w:pPr>
              <w:widowControl/>
              <w:jc w:val="center"/>
              <w:rPr>
                <w:rFonts w:hint="eastAsia" w:ascii="方正小标宋简体" w:hAnsi="黑体" w:eastAsia="方正小标宋简体" w:cs="宋体"/>
                <w:color w:val="000000"/>
                <w:kern w:val="0"/>
                <w:sz w:val="44"/>
                <w:szCs w:val="44"/>
                <w:highlight w:val="yellow"/>
                <w:lang w:eastAsia="zh-CN"/>
              </w:rPr>
            </w:pPr>
            <w:r>
              <w:rPr>
                <w:rFonts w:hint="eastAsia" w:ascii="方正小标宋简体" w:hAnsi="黑体" w:eastAsia="方正小标宋简体" w:cs="宋体"/>
                <w:color w:val="000000"/>
                <w:kern w:val="0"/>
                <w:sz w:val="44"/>
                <w:szCs w:val="44"/>
                <w:highlight w:val="none"/>
              </w:rPr>
              <w:t>202</w:t>
            </w:r>
            <w:r>
              <w:rPr>
                <w:rFonts w:hint="eastAsia" w:ascii="方正小标宋简体" w:hAnsi="黑体" w:eastAsia="方正小标宋简体" w:cs="宋体"/>
                <w:color w:val="000000"/>
                <w:kern w:val="0"/>
                <w:sz w:val="44"/>
                <w:szCs w:val="44"/>
                <w:highlight w:val="none"/>
                <w:lang w:val="en-US" w:eastAsia="zh-CN"/>
              </w:rPr>
              <w:t>3</w:t>
            </w:r>
            <w:r>
              <w:rPr>
                <w:rFonts w:hint="eastAsia" w:ascii="方正小标宋简体" w:hAnsi="黑体" w:eastAsia="方正小标宋简体" w:cs="宋体"/>
                <w:color w:val="000000"/>
                <w:kern w:val="0"/>
                <w:sz w:val="44"/>
                <w:szCs w:val="44"/>
                <w:highlight w:val="none"/>
              </w:rPr>
              <w:t>年部门整体绩效评价指标体系评分表</w:t>
            </w:r>
          </w:p>
        </w:tc>
      </w:tr>
      <w:tr>
        <w:tblPrEx>
          <w:tblLayout w:type="fixed"/>
          <w:tblCellMar>
            <w:top w:w="0" w:type="dxa"/>
            <w:left w:w="108" w:type="dxa"/>
            <w:bottom w:w="0" w:type="dxa"/>
            <w:right w:w="108" w:type="dxa"/>
          </w:tblCellMar>
        </w:tblPrEx>
        <w:trPr>
          <w:cantSplit/>
          <w:trHeight w:val="470" w:hRule="atLeast"/>
        </w:trPr>
        <w:tc>
          <w:tcPr>
            <w:tcW w:w="14174" w:type="dxa"/>
            <w:gridSpan w:val="9"/>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Layout w:type="fixed"/>
          <w:tblCellMar>
            <w:top w:w="0" w:type="dxa"/>
            <w:left w:w="108" w:type="dxa"/>
            <w:bottom w:w="0" w:type="dxa"/>
            <w:right w:w="108" w:type="dxa"/>
          </w:tblCellMar>
        </w:tblPrEx>
        <w:trPr>
          <w:cantSplit/>
          <w:trHeight w:val="660" w:hRule="atLeast"/>
        </w:trPr>
        <w:tc>
          <w:tcPr>
            <w:tcW w:w="12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36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352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blPrEx>
          <w:tblLayout w:type="fixed"/>
          <w:tblCellMar>
            <w:top w:w="0" w:type="dxa"/>
            <w:left w:w="108" w:type="dxa"/>
            <w:bottom w:w="0" w:type="dxa"/>
            <w:right w:w="108" w:type="dxa"/>
          </w:tblCellMar>
        </w:tblPrEx>
        <w:trPr>
          <w:cantSplit/>
          <w:trHeight w:val="630" w:hRule="atLeast"/>
        </w:trPr>
        <w:tc>
          <w:tcPr>
            <w:tcW w:w="120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22781.52　</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15904.98</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69.82%</w:t>
            </w:r>
          </w:p>
        </w:tc>
        <w:tc>
          <w:tcPr>
            <w:tcW w:w="9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9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13</w:t>
            </w:r>
          </w:p>
        </w:tc>
        <w:tc>
          <w:tcPr>
            <w:tcW w:w="362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3529"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Layout w:type="fixed"/>
          <w:tblCellMar>
            <w:top w:w="0" w:type="dxa"/>
            <w:left w:w="108" w:type="dxa"/>
            <w:bottom w:w="0" w:type="dxa"/>
            <w:right w:w="108" w:type="dxa"/>
          </w:tblCellMar>
        </w:tblPrEx>
        <w:trPr>
          <w:cantSplit/>
          <w:trHeight w:val="600"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12585.61</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9466.72</w:t>
            </w:r>
          </w:p>
        </w:tc>
        <w:tc>
          <w:tcPr>
            <w:tcW w:w="9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3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cantSplit/>
          <w:trHeight w:val="615"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10064.60</w:t>
            </w:r>
            <w:r>
              <w:rPr>
                <w:rFonts w:hint="eastAsia" w:ascii="宋体" w:hAnsi="宋体" w:cs="宋体"/>
                <w:color w:val="000000"/>
                <w:kern w:val="0"/>
                <w:sz w:val="20"/>
                <w:szCs w:val="20"/>
              </w:rPr>
              <w:t>　</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6438.26</w:t>
            </w:r>
            <w:r>
              <w:rPr>
                <w:rFonts w:hint="eastAsia" w:ascii="宋体" w:hAnsi="宋体" w:cs="宋体"/>
                <w:color w:val="000000"/>
                <w:kern w:val="0"/>
                <w:sz w:val="20"/>
                <w:szCs w:val="20"/>
              </w:rPr>
              <w:t>　</w:t>
            </w: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3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cantSplit/>
          <w:trHeight w:val="2136"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131.31</w:t>
            </w:r>
            <w:r>
              <w:rPr>
                <w:rFonts w:hint="eastAsia" w:ascii="宋体" w:hAnsi="宋体" w:cs="宋体"/>
                <w:color w:val="000000"/>
                <w:kern w:val="0"/>
                <w:sz w:val="20"/>
                <w:szCs w:val="20"/>
              </w:rPr>
              <w:t>　</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3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cantSplit/>
          <w:trHeight w:val="479" w:hRule="atLeast"/>
        </w:trPr>
        <w:tc>
          <w:tcPr>
            <w:tcW w:w="14174" w:type="dxa"/>
            <w:gridSpan w:val="9"/>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Layout w:type="fixed"/>
          <w:tblCellMar>
            <w:top w:w="0" w:type="dxa"/>
            <w:left w:w="108" w:type="dxa"/>
            <w:bottom w:w="0" w:type="dxa"/>
            <w:right w:w="108" w:type="dxa"/>
          </w:tblCellMar>
        </w:tblPrEx>
        <w:trPr>
          <w:cantSplit/>
          <w:trHeight w:val="499" w:hRule="atLeast"/>
        </w:trPr>
        <w:tc>
          <w:tcPr>
            <w:tcW w:w="12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2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91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36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35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cantSplit/>
          <w:trHeight w:val="1196" w:hRule="atLeast"/>
        </w:trPr>
        <w:tc>
          <w:tcPr>
            <w:tcW w:w="12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1205" w:type="dxa"/>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产出指标数量指标足额保障率</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p>
          <w:p>
            <w:pPr>
              <w:widowControl/>
              <w:jc w:val="center"/>
              <w:rPr>
                <w:rFonts w:hint="eastAsia" w:ascii="宋体" w:hAnsi="宋体" w:cs="宋体"/>
                <w:color w:val="000000"/>
                <w:kern w:val="0"/>
                <w:sz w:val="20"/>
                <w:szCs w:val="20"/>
                <w:lang w:val="en-US" w:eastAsia="zh-CN"/>
              </w:rPr>
            </w:pPr>
          </w:p>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　</w:t>
            </w:r>
          </w:p>
        </w:tc>
        <w:tc>
          <w:tcPr>
            <w:tcW w:w="916"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916" w:type="dxa"/>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362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352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Layout w:type="fixed"/>
          <w:tblCellMar>
            <w:top w:w="0" w:type="dxa"/>
            <w:left w:w="108" w:type="dxa"/>
            <w:bottom w:w="0" w:type="dxa"/>
            <w:right w:w="108" w:type="dxa"/>
          </w:tblCellMar>
        </w:tblPrEx>
        <w:trPr>
          <w:cantSplit/>
          <w:trHeight w:val="1130"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产出指标时效指标资金支付及时率</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　</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69.82%</w:t>
            </w:r>
            <w:r>
              <w:rPr>
                <w:rFonts w:hint="eastAsia" w:ascii="宋体" w:hAnsi="宋体" w:cs="宋体"/>
                <w:color w:val="000000"/>
                <w:kern w:val="0"/>
                <w:sz w:val="20"/>
                <w:szCs w:val="20"/>
              </w:rPr>
              <w:t>　</w:t>
            </w:r>
          </w:p>
        </w:tc>
        <w:tc>
          <w:tcPr>
            <w:tcW w:w="916"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　</w:t>
            </w:r>
          </w:p>
        </w:tc>
        <w:tc>
          <w:tcPr>
            <w:tcW w:w="36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cantSplit/>
          <w:trHeight w:val="1258"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产出指标成本指标预算支出金额</w:t>
            </w:r>
          </w:p>
        </w:tc>
        <w:tc>
          <w:tcPr>
            <w:tcW w:w="92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16278.25</w:t>
            </w:r>
          </w:p>
        </w:tc>
        <w:tc>
          <w:tcPr>
            <w:tcW w:w="9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15904.98　</w:t>
            </w:r>
          </w:p>
        </w:tc>
        <w:tc>
          <w:tcPr>
            <w:tcW w:w="91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　</w:t>
            </w:r>
          </w:p>
        </w:tc>
        <w:tc>
          <w:tcPr>
            <w:tcW w:w="36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cantSplit/>
          <w:trHeight w:val="975"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指标…</w:t>
            </w:r>
          </w:p>
        </w:tc>
        <w:tc>
          <w:tcPr>
            <w:tcW w:w="92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1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6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cantSplit/>
          <w:trHeight w:val="675"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91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满意度指标服务对象满意度指标用人单位满意率</w:t>
            </w:r>
          </w:p>
        </w:tc>
        <w:tc>
          <w:tcPr>
            <w:tcW w:w="92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85%</w:t>
            </w:r>
          </w:p>
        </w:tc>
        <w:tc>
          <w:tcPr>
            <w:tcW w:w="9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95%</w:t>
            </w:r>
            <w:r>
              <w:rPr>
                <w:rFonts w:hint="eastAsia" w:ascii="宋体" w:hAnsi="宋体" w:cs="宋体"/>
                <w:color w:val="000000"/>
                <w:kern w:val="0"/>
                <w:sz w:val="20"/>
                <w:szCs w:val="20"/>
              </w:rPr>
              <w:t>　</w:t>
            </w:r>
          </w:p>
        </w:tc>
        <w:tc>
          <w:tcPr>
            <w:tcW w:w="91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15</w:t>
            </w:r>
            <w:r>
              <w:rPr>
                <w:rFonts w:hint="eastAsia" w:ascii="宋体" w:hAnsi="宋体" w:cs="宋体"/>
                <w:color w:val="000000"/>
                <w:kern w:val="0"/>
                <w:sz w:val="20"/>
                <w:szCs w:val="20"/>
              </w:rPr>
              <w:t>　</w:t>
            </w:r>
          </w:p>
        </w:tc>
        <w:tc>
          <w:tcPr>
            <w:tcW w:w="3629"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3529"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Layout w:type="fixed"/>
          <w:tblCellMar>
            <w:top w:w="0" w:type="dxa"/>
            <w:left w:w="108" w:type="dxa"/>
            <w:bottom w:w="0" w:type="dxa"/>
            <w:right w:w="108" w:type="dxa"/>
          </w:tblCellMar>
        </w:tblPrEx>
        <w:trPr>
          <w:cantSplit/>
          <w:trHeight w:val="630"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rPr>
              <w:t>满意度指标服务对象满意度指标毕业生满意率</w:t>
            </w:r>
          </w:p>
        </w:tc>
        <w:tc>
          <w:tcPr>
            <w:tcW w:w="92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95%</w:t>
            </w:r>
          </w:p>
        </w:tc>
        <w:tc>
          <w:tcPr>
            <w:tcW w:w="9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95%</w:t>
            </w: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15</w:t>
            </w:r>
          </w:p>
        </w:tc>
        <w:tc>
          <w:tcPr>
            <w:tcW w:w="36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cantSplit/>
          <w:trHeight w:val="690"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指标3</w:t>
            </w:r>
          </w:p>
        </w:tc>
        <w:tc>
          <w:tcPr>
            <w:tcW w:w="92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6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cantSplit/>
          <w:trHeight w:val="675" w:hRule="atLeast"/>
        </w:trPr>
        <w:tc>
          <w:tcPr>
            <w:tcW w:w="12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指标…</w:t>
            </w:r>
          </w:p>
        </w:tc>
        <w:tc>
          <w:tcPr>
            <w:tcW w:w="92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6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cantSplit/>
          <w:trHeight w:val="487" w:hRule="atLeast"/>
        </w:trPr>
        <w:tc>
          <w:tcPr>
            <w:tcW w:w="14174"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Layout w:type="fixed"/>
          <w:tblCellMar>
            <w:top w:w="0" w:type="dxa"/>
            <w:left w:w="108" w:type="dxa"/>
            <w:bottom w:w="0" w:type="dxa"/>
            <w:right w:w="108" w:type="dxa"/>
          </w:tblCellMar>
        </w:tblPrEx>
        <w:trPr>
          <w:cantSplit/>
          <w:trHeight w:val="702" w:hRule="atLeast"/>
        </w:trPr>
        <w:tc>
          <w:tcPr>
            <w:tcW w:w="12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91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36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352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cantSplit/>
          <w:trHeight w:val="1230" w:hRule="atLeast"/>
        </w:trPr>
        <w:tc>
          <w:tcPr>
            <w:tcW w:w="12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12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91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w:t>
            </w:r>
          </w:p>
        </w:tc>
        <w:tc>
          <w:tcPr>
            <w:tcW w:w="36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352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Layout w:type="fixed"/>
          <w:tblCellMar>
            <w:top w:w="0" w:type="dxa"/>
            <w:left w:w="108" w:type="dxa"/>
            <w:bottom w:w="0" w:type="dxa"/>
            <w:right w:w="108" w:type="dxa"/>
          </w:tblCellMar>
        </w:tblPrEx>
        <w:trPr>
          <w:cantSplit/>
          <w:trHeight w:val="2220" w:hRule="atLeast"/>
        </w:trPr>
        <w:tc>
          <w:tcPr>
            <w:tcW w:w="120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91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36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352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Layout w:type="fixed"/>
          <w:tblCellMar>
            <w:top w:w="0" w:type="dxa"/>
            <w:left w:w="108" w:type="dxa"/>
            <w:bottom w:w="0" w:type="dxa"/>
            <w:right w:w="108" w:type="dxa"/>
          </w:tblCellMar>
        </w:tblPrEx>
        <w:trPr>
          <w:cantSplit/>
          <w:trHeight w:val="410"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92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1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362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3529"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Layout w:type="fixed"/>
          <w:tblCellMar>
            <w:top w:w="0" w:type="dxa"/>
            <w:left w:w="108" w:type="dxa"/>
            <w:bottom w:w="0" w:type="dxa"/>
            <w:right w:w="108" w:type="dxa"/>
          </w:tblCellMar>
        </w:tblPrEx>
        <w:trPr>
          <w:cantSplit/>
          <w:trHeight w:val="2220"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36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35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Layout w:type="fixed"/>
          <w:tblCellMar>
            <w:top w:w="0" w:type="dxa"/>
            <w:left w:w="108" w:type="dxa"/>
            <w:bottom w:w="0" w:type="dxa"/>
            <w:right w:w="108" w:type="dxa"/>
          </w:tblCellMar>
        </w:tblPrEx>
        <w:trPr>
          <w:cantSplit/>
          <w:trHeight w:val="1210"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92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3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91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36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352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Layout w:type="fixed"/>
          <w:tblCellMar>
            <w:top w:w="0" w:type="dxa"/>
            <w:left w:w="108" w:type="dxa"/>
            <w:bottom w:w="0" w:type="dxa"/>
            <w:right w:w="108" w:type="dxa"/>
          </w:tblCellMar>
        </w:tblPrEx>
        <w:trPr>
          <w:cantSplit/>
          <w:trHeight w:val="394"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1843" w:type="dxa"/>
            <w:gridSpan w:val="2"/>
            <w:tcBorders>
              <w:top w:val="single" w:color="auto" w:sz="4" w:space="0"/>
              <w:left w:val="nil"/>
              <w:bottom w:val="single" w:color="auto" w:sz="4" w:space="0"/>
              <w:right w:val="single" w:color="000000" w:sz="4" w:space="0"/>
            </w:tcBorders>
            <w:textDirection w:val="lrTb"/>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36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3529"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cantSplit/>
          <w:trHeight w:val="2229"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1843" w:type="dxa"/>
            <w:gridSpan w:val="2"/>
            <w:tcBorders>
              <w:top w:val="single" w:color="auto" w:sz="4" w:space="0"/>
              <w:left w:val="nil"/>
              <w:bottom w:val="single" w:color="auto" w:sz="4" w:space="0"/>
              <w:right w:val="single" w:color="000000" w:sz="4" w:space="0"/>
            </w:tcBorders>
            <w:textDirection w:val="lrTb"/>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27.10%</w:t>
            </w:r>
          </w:p>
        </w:tc>
        <w:tc>
          <w:tcPr>
            <w:tcW w:w="935"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30.18%</w:t>
            </w:r>
          </w:p>
        </w:tc>
        <w:tc>
          <w:tcPr>
            <w:tcW w:w="91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36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352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Layout w:type="fixed"/>
          <w:tblCellMar>
            <w:top w:w="0" w:type="dxa"/>
            <w:left w:w="108" w:type="dxa"/>
            <w:bottom w:w="0" w:type="dxa"/>
            <w:right w:w="108" w:type="dxa"/>
          </w:tblCellMar>
        </w:tblPrEx>
        <w:trPr>
          <w:cantSplit/>
          <w:trHeight w:val="981"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1843" w:type="dxa"/>
            <w:gridSpan w:val="2"/>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3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4.74%</w:t>
            </w:r>
          </w:p>
        </w:tc>
        <w:tc>
          <w:tcPr>
            <w:tcW w:w="91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362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3529"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Layout w:type="fixed"/>
          <w:tblCellMar>
            <w:top w:w="0" w:type="dxa"/>
            <w:left w:w="108" w:type="dxa"/>
            <w:bottom w:w="0" w:type="dxa"/>
            <w:right w:w="108" w:type="dxa"/>
          </w:tblCellMar>
        </w:tblPrEx>
        <w:trPr>
          <w:cantSplit/>
          <w:trHeight w:val="484" w:hRule="atLeast"/>
        </w:trPr>
        <w:tc>
          <w:tcPr>
            <w:tcW w:w="518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91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85</w:t>
            </w:r>
            <w:r>
              <w:rPr>
                <w:rFonts w:hint="eastAsia" w:ascii="宋体" w:hAnsi="宋体" w:cs="宋体"/>
                <w:color w:val="000000"/>
                <w:kern w:val="0"/>
                <w:sz w:val="20"/>
                <w:szCs w:val="20"/>
              </w:rPr>
              <w:t>　</w:t>
            </w:r>
          </w:p>
        </w:tc>
        <w:tc>
          <w:tcPr>
            <w:tcW w:w="715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eastAsia="方正小标宋简体"/>
          <w:sz w:val="36"/>
          <w:szCs w:val="36"/>
        </w:rPr>
      </w:pPr>
    </w:p>
    <w:sectPr>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Yu Gothic UI Semibold">
    <w:panose1 w:val="020B0700000000000000"/>
    <w:charset w:val="80"/>
    <w:family w:val="auto"/>
    <w:pitch w:val="default"/>
    <w:sig w:usb0="E00002FF" w:usb1="2AC7FDFF" w:usb2="00000016" w:usb3="00000000" w:csb0="2002009F" w:csb1="00000000"/>
  </w:font>
  <w:font w:name="Bahnschrift Light">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Malgun Gothic">
    <w:panose1 w:val="020B0503020000020004"/>
    <w:charset w:val="81"/>
    <w:family w:val="auto"/>
    <w:pitch w:val="default"/>
    <w:sig w:usb0="9000002F" w:usb1="29D77CFB" w:usb2="00000012" w:usb3="00000000" w:csb0="00080001" w:csb1="00000000"/>
  </w:font>
  <w:font w:name="微软雅黑 Light">
    <w:panose1 w:val="020B0502040204020203"/>
    <w:charset w:val="86"/>
    <w:family w:val="auto"/>
    <w:pitch w:val="default"/>
    <w:sig w:usb0="80000287" w:usb1="2ACF0010" w:usb2="00000016" w:usb3="00000000" w:csb0="0004001F" w:csb1="00000000"/>
  </w:font>
  <w:font w:name="Droid Sans">
    <w:altName w:val="Arial Unicode MS"/>
    <w:panose1 w:val="00000000000000000000"/>
    <w:charset w:val="00"/>
    <w:family w:val="auto"/>
    <w:pitch w:val="default"/>
    <w:sig w:usb0="00000000" w:usb1="00000000" w:usb2="00000000"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rPr>
        <w:sz w:val="21"/>
        <w:szCs w:val="21"/>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6F8CA"/>
    <w:multiLevelType w:val="singleLevel"/>
    <w:tmpl w:val="6466F8CA"/>
    <w:lvl w:ilvl="0" w:tentative="0">
      <w:start w:val="2"/>
      <w:numFmt w:val="chineseCounting"/>
      <w:suff w:val="nothing"/>
      <w:lvlText w:val="（%1）"/>
      <w:lvlJc w:val="left"/>
    </w:lvl>
  </w:abstractNum>
  <w:abstractNum w:abstractNumId="1">
    <w:nsid w:val="646ADC57"/>
    <w:multiLevelType w:val="singleLevel"/>
    <w:tmpl w:val="646ADC57"/>
    <w:lvl w:ilvl="0" w:tentative="0">
      <w:start w:val="2"/>
      <w:numFmt w:val="decimal"/>
      <w:suff w:val="nothing"/>
      <w:lvlText w:val="%1."/>
      <w:lvlJc w:val="left"/>
    </w:lvl>
  </w:abstractNum>
  <w:abstractNum w:abstractNumId="2">
    <w:nsid w:val="646ADD6F"/>
    <w:multiLevelType w:val="singleLevel"/>
    <w:tmpl w:val="646ADD6F"/>
    <w:lvl w:ilvl="0" w:tentative="0">
      <w:start w:val="4"/>
      <w:numFmt w:val="chineseCounting"/>
      <w:suff w:val="nothing"/>
      <w:lvlText w:val="（%1）"/>
      <w:lvlJc w:val="left"/>
    </w:lvl>
  </w:abstractNum>
  <w:abstractNum w:abstractNumId="3">
    <w:nsid w:val="646C3034"/>
    <w:multiLevelType w:val="singleLevel"/>
    <w:tmpl w:val="646C3034"/>
    <w:lvl w:ilvl="0" w:tentative="0">
      <w:start w:val="2"/>
      <w:numFmt w:val="decimal"/>
      <w:suff w:val="nothing"/>
      <w:lvlText w:val="%1."/>
      <w:lvlJc w:val="left"/>
    </w:lvl>
  </w:abstractNum>
  <w:abstractNum w:abstractNumId="4">
    <w:nsid w:val="646C5981"/>
    <w:multiLevelType w:val="singleLevel"/>
    <w:tmpl w:val="646C5981"/>
    <w:lvl w:ilvl="0" w:tentative="0">
      <w:start w:val="2"/>
      <w:numFmt w:val="chineseCounting"/>
      <w:suff w:val="nothing"/>
      <w:lvlText w:val="（%1）"/>
      <w:lvlJc w:val="left"/>
    </w:lvl>
  </w:abstractNum>
  <w:abstractNum w:abstractNumId="5">
    <w:nsid w:val="646C69E0"/>
    <w:multiLevelType w:val="singleLevel"/>
    <w:tmpl w:val="646C69E0"/>
    <w:lvl w:ilvl="0" w:tentative="0">
      <w:start w:val="1"/>
      <w:numFmt w:val="decimal"/>
      <w:suff w:val="nothing"/>
      <w:lvlText w:val="%1."/>
      <w:lvlJc w:val="left"/>
    </w:lvl>
  </w:abstractNum>
  <w:abstractNum w:abstractNumId="6">
    <w:nsid w:val="64706861"/>
    <w:multiLevelType w:val="singleLevel"/>
    <w:tmpl w:val="64706861"/>
    <w:lvl w:ilvl="0" w:tentative="0">
      <w:start w:val="2"/>
      <w:numFmt w:val="chineseCounting"/>
      <w:suff w:val="nothing"/>
      <w:lvlText w:val="（%1）"/>
      <w:lvlJc w:val="left"/>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1BD7F6B"/>
    <w:rsid w:val="031B5C87"/>
    <w:rsid w:val="040B2E15"/>
    <w:rsid w:val="074D74EE"/>
    <w:rsid w:val="0AFC5CAF"/>
    <w:rsid w:val="0B12390D"/>
    <w:rsid w:val="0D0F71CB"/>
    <w:rsid w:val="0D1406E9"/>
    <w:rsid w:val="0DE62337"/>
    <w:rsid w:val="0EB3285F"/>
    <w:rsid w:val="0EC94659"/>
    <w:rsid w:val="0FCD2DA9"/>
    <w:rsid w:val="12A5117F"/>
    <w:rsid w:val="12D1733B"/>
    <w:rsid w:val="14705442"/>
    <w:rsid w:val="14885617"/>
    <w:rsid w:val="1503045D"/>
    <w:rsid w:val="150F7793"/>
    <w:rsid w:val="175F53D8"/>
    <w:rsid w:val="1A741F8E"/>
    <w:rsid w:val="1E8D1EB1"/>
    <w:rsid w:val="216F78EF"/>
    <w:rsid w:val="22E55484"/>
    <w:rsid w:val="27DA117D"/>
    <w:rsid w:val="2CB66B5D"/>
    <w:rsid w:val="2CC81B77"/>
    <w:rsid w:val="2D573D97"/>
    <w:rsid w:val="2E8C1ABE"/>
    <w:rsid w:val="30C243F7"/>
    <w:rsid w:val="31DE42DC"/>
    <w:rsid w:val="33251A78"/>
    <w:rsid w:val="37173543"/>
    <w:rsid w:val="37996AAF"/>
    <w:rsid w:val="392C1E26"/>
    <w:rsid w:val="39C243E9"/>
    <w:rsid w:val="3BA14E62"/>
    <w:rsid w:val="3E340058"/>
    <w:rsid w:val="3FDBA076"/>
    <w:rsid w:val="3FDFB3F0"/>
    <w:rsid w:val="3FDFC9A6"/>
    <w:rsid w:val="3FF76880"/>
    <w:rsid w:val="409725DF"/>
    <w:rsid w:val="414D1F93"/>
    <w:rsid w:val="46A43929"/>
    <w:rsid w:val="48245FF9"/>
    <w:rsid w:val="497C3CF6"/>
    <w:rsid w:val="4C035A75"/>
    <w:rsid w:val="4DC73316"/>
    <w:rsid w:val="4FB06A2E"/>
    <w:rsid w:val="505A5F81"/>
    <w:rsid w:val="507A60BA"/>
    <w:rsid w:val="51B71B7D"/>
    <w:rsid w:val="560523D2"/>
    <w:rsid w:val="5AF36A1E"/>
    <w:rsid w:val="5B714395"/>
    <w:rsid w:val="5BDF58A0"/>
    <w:rsid w:val="5BFD4AC2"/>
    <w:rsid w:val="5D434DC7"/>
    <w:rsid w:val="5F8E46E9"/>
    <w:rsid w:val="5FC902ED"/>
    <w:rsid w:val="60820079"/>
    <w:rsid w:val="62E75CC7"/>
    <w:rsid w:val="64B35683"/>
    <w:rsid w:val="653F43D4"/>
    <w:rsid w:val="65B33A83"/>
    <w:rsid w:val="67065CEB"/>
    <w:rsid w:val="67759716"/>
    <w:rsid w:val="68556542"/>
    <w:rsid w:val="69586223"/>
    <w:rsid w:val="6CAE4675"/>
    <w:rsid w:val="6F7ED27B"/>
    <w:rsid w:val="71420A5D"/>
    <w:rsid w:val="71BF4C37"/>
    <w:rsid w:val="728A4940"/>
    <w:rsid w:val="729C33F7"/>
    <w:rsid w:val="7531132B"/>
    <w:rsid w:val="75B17A7C"/>
    <w:rsid w:val="76DF1C00"/>
    <w:rsid w:val="771D7279"/>
    <w:rsid w:val="7774131F"/>
    <w:rsid w:val="78087FAB"/>
    <w:rsid w:val="78561174"/>
    <w:rsid w:val="7A085BED"/>
    <w:rsid w:val="7AB7FF50"/>
    <w:rsid w:val="7AEAF641"/>
    <w:rsid w:val="7B360C28"/>
    <w:rsid w:val="7BAD2729"/>
    <w:rsid w:val="7BFEB0DB"/>
    <w:rsid w:val="7C1035DE"/>
    <w:rsid w:val="7EE20D1A"/>
    <w:rsid w:val="7FFF4E81"/>
    <w:rsid w:val="7FFFD0D3"/>
    <w:rsid w:val="8716660E"/>
    <w:rsid w:val="A3AA735E"/>
    <w:rsid w:val="A75D4892"/>
    <w:rsid w:val="AFFFCE02"/>
    <w:rsid w:val="CEFD3F3D"/>
    <w:rsid w:val="D6B22E60"/>
    <w:rsid w:val="EA3F77F2"/>
    <w:rsid w:val="EEFE5989"/>
    <w:rsid w:val="EFCF3EAE"/>
    <w:rsid w:val="F4FDEB06"/>
    <w:rsid w:val="F5B764A2"/>
    <w:rsid w:val="F77F09F4"/>
    <w:rsid w:val="FBFF6E65"/>
    <w:rsid w:val="FEEF6AA0"/>
    <w:rsid w:val="FFB792B8"/>
    <w:rsid w:val="FFD7BFFC"/>
    <w:rsid w:val="FFFA6B0F"/>
    <w:rsid w:val="FFFFB6E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line="600" w:lineRule="exact"/>
      <w:ind w:firstLine="640"/>
      <w:outlineLvl w:val="0"/>
    </w:pPr>
    <w:rPr>
      <w:rFonts w:ascii="黑体" w:hAnsi="黑体" w:eastAsia="黑体" w:cs="宋体"/>
      <w:color w:val="000000"/>
      <w:kern w:val="0"/>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2022-03-14T19:16:00Z</dcterms:created>
  <dc:creator>user</dc:creator>
  <cp:lastModifiedBy>lgj</cp:lastModifiedBy>
  <cp:lastPrinted>2023-03-06T01:31:00Z</cp:lastPrinted>
  <dcterms:modified xsi:type="dcterms:W3CDTF">2024-05-20T03:59:05Z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