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hint="eastAsia" w:ascii="黑体" w:hAnsi="黑体" w:eastAsia="黑体"/>
          <w:sz w:val="32"/>
          <w:szCs w:val="32"/>
          <w:lang w:val="en-US" w:eastAsia="zh-CN"/>
        </w:rPr>
      </w:pPr>
      <w:r>
        <w:rPr>
          <w:rFonts w:hint="eastAsia" w:ascii="黑体" w:hAnsi="黑体" w:eastAsia="黑体"/>
          <w:sz w:val="32"/>
          <w:szCs w:val="32"/>
        </w:rPr>
        <w:t>附件</w:t>
      </w:r>
      <w:r>
        <w:rPr>
          <w:rFonts w:hint="eastAsia" w:ascii="黑体" w:hAnsi="黑体" w:eastAsia="黑体"/>
          <w:sz w:val="32"/>
          <w:szCs w:val="32"/>
          <w:lang w:val="en-US" w:eastAsia="zh-CN"/>
        </w:rPr>
        <w:t>2</w:t>
      </w:r>
    </w:p>
    <w:p>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hint="eastAsia" w:ascii="仿宋_GB2312" w:hAnsi="宋体" w:eastAsia="仿宋_GB2312"/>
          <w:sz w:val="28"/>
          <w:szCs w:val="28"/>
          <w:lang w:val="en-US" w:eastAsia="zh-CN"/>
        </w:rPr>
        <w:t>2023</w:t>
      </w:r>
      <w:r>
        <w:rPr>
          <w:rFonts w:hint="eastAsia" w:ascii="仿宋_GB2312" w:hAnsi="宋体" w:eastAsia="仿宋_GB2312"/>
          <w:sz w:val="28"/>
          <w:szCs w:val="28"/>
        </w:rPr>
        <w:t>年度）</w:t>
      </w:r>
    </w:p>
    <w:p>
      <w:pPr>
        <w:spacing w:line="240" w:lineRule="exact"/>
        <w:rPr>
          <w:rFonts w:hint="eastAsia" w:ascii="仿宋_GB2312" w:hAnsi="宋体" w:eastAsia="仿宋_GB2312"/>
          <w:sz w:val="30"/>
          <w:szCs w:val="30"/>
        </w:rPr>
      </w:pPr>
    </w:p>
    <w:tbl>
      <w:tblPr>
        <w:tblStyle w:val="6"/>
        <w:tblW w:w="9337" w:type="dxa"/>
        <w:jc w:val="center"/>
        <w:tblInd w:w="0" w:type="dxa"/>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1009"/>
      </w:tblGrid>
      <w:tr>
        <w:tblPrEx>
          <w:tblLayout w:type="fixed"/>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项目名称</w:t>
            </w:r>
          </w:p>
        </w:tc>
        <w:tc>
          <w:tcPr>
            <w:tcW w:w="7777"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王志鸥数字光影工作室</w:t>
            </w:r>
          </w:p>
        </w:tc>
      </w:tr>
      <w:tr>
        <w:tblPrEx>
          <w:tblLayout w:type="fixed"/>
          <w:tblCellMar>
            <w:top w:w="0" w:type="dxa"/>
            <w:left w:w="108" w:type="dxa"/>
            <w:bottom w:w="0" w:type="dxa"/>
            <w:right w:w="108" w:type="dxa"/>
          </w:tblCellMar>
        </w:tblPrEx>
        <w:trPr>
          <w:trHeight w:val="824"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主管部门</w:t>
            </w:r>
          </w:p>
        </w:tc>
        <w:tc>
          <w:tcPr>
            <w:tcW w:w="4091"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 w:val="21"/>
                <w:szCs w:val="21"/>
                <w:highlight w:val="none"/>
                <w:lang w:eastAsia="zh-CN"/>
              </w:rPr>
              <w:t>北京时尚控股有限责任公司</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实施单位</w:t>
            </w:r>
          </w:p>
        </w:tc>
        <w:tc>
          <w:tcPr>
            <w:tcW w:w="2559"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 w:val="21"/>
                <w:szCs w:val="21"/>
                <w:highlight w:val="none"/>
                <w:lang w:eastAsia="zh-CN"/>
              </w:rPr>
              <w:t>北京市新媒体技师学院</w:t>
            </w:r>
          </w:p>
          <w:p>
            <w:pPr>
              <w:widowControl/>
              <w:spacing w:line="240" w:lineRule="exact"/>
              <w:jc w:val="center"/>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 w:val="21"/>
                <w:szCs w:val="21"/>
                <w:highlight w:val="none"/>
                <w:lang w:eastAsia="zh-CN"/>
              </w:rPr>
              <w:t>（北京时尚控股有限责任公司党校）</w:t>
            </w:r>
          </w:p>
        </w:tc>
      </w:tr>
      <w:tr>
        <w:tblPrEx>
          <w:tblLayout w:type="fixed"/>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项目负责人</w:t>
            </w:r>
          </w:p>
        </w:tc>
        <w:tc>
          <w:tcPr>
            <w:tcW w:w="4091"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郝金亭</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联系电话</w:t>
            </w:r>
          </w:p>
        </w:tc>
        <w:tc>
          <w:tcPr>
            <w:tcW w:w="2559"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18611899096</w:t>
            </w:r>
          </w:p>
        </w:tc>
      </w:tr>
      <w:tr>
        <w:tblPrEx>
          <w:tblLayout w:type="fixed"/>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项目资金</w:t>
            </w:r>
            <w:r>
              <w:rPr>
                <w:rFonts w:hint="eastAsia" w:ascii="仿宋_GB2312" w:hAnsi="宋体" w:eastAsia="仿宋_GB2312" w:cs="宋体"/>
                <w:kern w:val="0"/>
                <w:sz w:val="21"/>
                <w:szCs w:val="21"/>
                <w:highlight w:val="none"/>
              </w:rPr>
              <w:br w:type="textWrapping"/>
            </w:r>
            <w:r>
              <w:rPr>
                <w:rFonts w:hint="eastAsia" w:ascii="仿宋_GB2312" w:hAnsi="宋体" w:eastAsia="仿宋_GB2312" w:cs="宋体"/>
                <w:kern w:val="0"/>
                <w:sz w:val="21"/>
                <w:szCs w:val="21"/>
                <w:highlight w:val="none"/>
              </w:rPr>
              <w:t>（万元）</w:t>
            </w: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 w:val="21"/>
                <w:szCs w:val="21"/>
                <w:highlight w:val="none"/>
              </w:rPr>
              <w:t>年初预</w:t>
            </w:r>
          </w:p>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算数</w:t>
            </w:r>
          </w:p>
        </w:tc>
        <w:tc>
          <w:tcPr>
            <w:tcW w:w="113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 w:val="21"/>
                <w:szCs w:val="21"/>
                <w:highlight w:val="none"/>
              </w:rPr>
              <w:t>全年预</w:t>
            </w:r>
          </w:p>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算数</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 w:val="21"/>
                <w:szCs w:val="21"/>
                <w:highlight w:val="none"/>
              </w:rPr>
              <w:t>全年</w:t>
            </w:r>
          </w:p>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执行数</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分值</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执行率</w:t>
            </w:r>
          </w:p>
        </w:tc>
        <w:tc>
          <w:tcPr>
            <w:tcW w:w="100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得分</w:t>
            </w:r>
          </w:p>
        </w:tc>
      </w:tr>
      <w:tr>
        <w:tblPrEx>
          <w:tblLayout w:type="fixed"/>
          <w:tblCellMar>
            <w:top w:w="0" w:type="dxa"/>
            <w:left w:w="108" w:type="dxa"/>
            <w:bottom w:w="0" w:type="dxa"/>
            <w:right w:w="108" w:type="dxa"/>
          </w:tblCellMar>
        </w:tblPrEx>
        <w:trPr>
          <w:trHeight w:val="584"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年度资金总额</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982.118093</w:t>
            </w:r>
          </w:p>
        </w:tc>
        <w:tc>
          <w:tcPr>
            <w:tcW w:w="113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669.4864</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660.9680</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10</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98.73%</w:t>
            </w:r>
          </w:p>
        </w:tc>
        <w:tc>
          <w:tcPr>
            <w:tcW w:w="100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9.9</w:t>
            </w:r>
          </w:p>
        </w:tc>
      </w:tr>
      <w:tr>
        <w:tblPrEx>
          <w:tblLayout w:type="fixed"/>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 w:val="21"/>
                <w:szCs w:val="21"/>
                <w:highlight w:val="none"/>
              </w:rPr>
              <w:t>其中：当年财政</w:t>
            </w:r>
          </w:p>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拨款</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729.2264</w:t>
            </w:r>
          </w:p>
        </w:tc>
        <w:tc>
          <w:tcPr>
            <w:tcW w:w="113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416.594707</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408.926307</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98.16%</w:t>
            </w:r>
          </w:p>
        </w:tc>
        <w:tc>
          <w:tcPr>
            <w:tcW w:w="100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w:t>
            </w:r>
          </w:p>
        </w:tc>
      </w:tr>
      <w:tr>
        <w:tblPrEx>
          <w:tblLayout w:type="fixed"/>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 xml:space="preserve">      上年结转资金</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252.891693</w:t>
            </w:r>
          </w:p>
        </w:tc>
        <w:tc>
          <w:tcPr>
            <w:tcW w:w="113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252.891693</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252.041693</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99.66%</w:t>
            </w:r>
          </w:p>
        </w:tc>
        <w:tc>
          <w:tcPr>
            <w:tcW w:w="100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w:t>
            </w:r>
          </w:p>
        </w:tc>
      </w:tr>
      <w:tr>
        <w:tblPrEx>
          <w:tblLayout w:type="fixed"/>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 xml:space="preserve">  其他资金</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w:t>
            </w:r>
          </w:p>
        </w:tc>
        <w:tc>
          <w:tcPr>
            <w:tcW w:w="113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w:t>
            </w:r>
          </w:p>
        </w:tc>
        <w:tc>
          <w:tcPr>
            <w:tcW w:w="100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w:t>
            </w:r>
          </w:p>
        </w:tc>
      </w:tr>
      <w:tr>
        <w:tblPrEx>
          <w:tblLayout w:type="fixed"/>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年度总体目标</w:t>
            </w:r>
          </w:p>
        </w:tc>
        <w:tc>
          <w:tcPr>
            <w:tcW w:w="5066"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预期目标</w:t>
            </w:r>
          </w:p>
        </w:tc>
        <w:tc>
          <w:tcPr>
            <w:tcW w:w="368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实际完成情况</w:t>
            </w:r>
          </w:p>
        </w:tc>
      </w:tr>
      <w:tr>
        <w:tblPrEx>
          <w:tblLayout w:type="fixed"/>
          <w:tblCellMar>
            <w:top w:w="0" w:type="dxa"/>
            <w:left w:w="108" w:type="dxa"/>
            <w:bottom w:w="0" w:type="dxa"/>
            <w:right w:w="108" w:type="dxa"/>
          </w:tblCellMar>
        </w:tblPrEx>
        <w:trPr>
          <w:trHeight w:val="0" w:hRule="atLeast"/>
          <w:jc w:val="center"/>
        </w:trPr>
        <w:tc>
          <w:tcPr>
            <w:tcW w:w="58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066"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both"/>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 w:val="21"/>
                <w:szCs w:val="21"/>
                <w:highlight w:val="none"/>
                <w:lang w:eastAsia="zh-CN"/>
              </w:rPr>
              <w:t>高端引领</w:t>
            </w:r>
            <w:bookmarkStart w:id="0" w:name="_GoBack"/>
            <w:bookmarkEnd w:id="0"/>
            <w:r>
              <w:rPr>
                <w:rFonts w:hint="eastAsia" w:ascii="仿宋_GB2312" w:hAnsi="宋体" w:eastAsia="仿宋_GB2312" w:cs="宋体"/>
                <w:kern w:val="0"/>
                <w:sz w:val="21"/>
                <w:szCs w:val="21"/>
                <w:highlight w:val="none"/>
                <w:lang w:eastAsia="zh-CN"/>
              </w:rPr>
              <w:t xml:space="preserve">，融合发展。发挥王志鸥大师的个人影响力和黑弓企业品牌、技术优势，项目优势，整合北京市新媒体技师学院、北京印刷学院、黑弓企业的生态圈资源，融合技术研发、创意设计与职业教育等优势，同时将立德树人、企业文化、工匠精神融入工作室建设和高技能人才培养全过程，培养德技艺创融合发展的数字光影技术高技能人才，建成国内一流、国际知名的数字光影人才培养基地。 点面结合，协同创新。依托新媒体应用技术特高专业群，充分挖掘数字光影技术内涵，借鉴现代学徒制人才培养模式，按照需求选择工作室场所、企业场所、项目实施现场等教学环境开展项目实践教学，真正实现工学交替、真岗环境，实现学习和工作一体化，创新“一平台、双主体、三层级、四融合”人才培养模式。实现点（技术技能工作室）面（专业群）的有机结合，协同创新发展。 共建共享，服务产业。合作建立行企校双导师互兼、互任、互聘机制，组建融合教师团队，共建数字光影技术教学实训中心、技术研发与转化中心和社会服务中心，共同完成人才培育、资源共建共享、技术创新与社会服务等工作，助力数字创意产业，服务首都“四个中心”建设。 分年度建设目标： 2022 年度，组建工作室建设指导委员会、建设办公室和项目管理团队，制定相关制度文件，签订三方培养协议，录取学员；深入开展调研，开发配套岗位标准和培养方案以及初步完成课程标准建设；组建能开展教学、资源建设、技术研发和社会服务的双师团队；建设数字光影技术教学实训中心、技术研发与转化中心和社会服务中心，并基于此在大师引领下，制定各个机构、团队、中心的工作方案，并初步开展各项工作。 2023 年度，完善人才培养方案和课程标准，并以此为基础开展数字光影方向一体化课程建设和数字化资源建设、实训基地建设，建成校内外实训基地，完成技术革新课题，开展技艺创新传承活动；大师引领建立人才培养评价体系和相关证书认证工作，校企合作为企业提供技术咨询与研发服务。进行 1+X 试点课程资源开发工作。 </w:t>
            </w:r>
          </w:p>
        </w:tc>
        <w:tc>
          <w:tcPr>
            <w:tcW w:w="368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both"/>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 w:val="21"/>
                <w:szCs w:val="21"/>
                <w:highlight w:val="none"/>
                <w:lang w:eastAsia="zh-CN"/>
              </w:rPr>
              <w:t>通过王志鸥数字光影工作室的建设，联合学院新媒体应用技术、时尚消费服务两个特高专业群，建立了专业群和实训基地的系统建设机制，组建了行企校产教联合体，创新人才培养模式，构建了高标准的课程体系，大师引领校企合作组建了高质量的数字光影教学团队，共同打造学院人才培养高地，在服务首都数字创意产业、时尚产业发展，助力北京数字标杆城市建设方面贡献了新媒体力量。</w:t>
            </w:r>
          </w:p>
          <w:p>
            <w:pPr>
              <w:widowControl/>
              <w:spacing w:line="240" w:lineRule="exact"/>
              <w:jc w:val="both"/>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 w:val="21"/>
                <w:szCs w:val="21"/>
                <w:highlight w:val="none"/>
                <w:lang w:eastAsia="zh-CN"/>
              </w:rPr>
              <w:t>2022年，教师团队两名教师分别成为人社部教指委计算机技术与应用专业分委会副主任委员，创意设计分委会委员；2023年一名教师成为人社部教指委培训方向新媒体类副主任委员；2023年学院被人社部认定为全国技工院校工学一体化教师（信息类）培训基地；2022年学院（新媒体专业部）作为组长校牵头开发多媒体制作专业、作为副组长校开发计算机动画制作专业、计算机游戏制作专业等三个专业国家技能人才培养工学一体化课程标准和课程设置方案，专业部教师郝金亭作为人社部专家组成员指导数字与信息类17个专业的国标开发工作；2022年成功立项中国职协首批技工教育数字化改革创新课题《校企合作共建产业学院的模式和路径研究实践》并开展实践；2023年作为副理事长单位参与发起全国数字技术技能职业教育集团；2022-2023年累计在《职业》、《培训》等核心期刊发表论文4篇。2023年专业群2个思政典型案例入选北京市技工院校课程思政典型案例项目；2022年以来累计10人次获得世界技能大赛北京选拔赛、全国职业院校技能大赛北京选拔赛等省级技能大赛一二三等奖；2022年专业群数字媒体教学创新团队评为北京职业院校教师教学创新团队；参与北京市教育教育科学“十三五”规划（重点）课题1项，主持北京市教改课题3项、北京市人社局课题4项；2022年2项教学成果获得北京市职业教育教学成果一等奖、1项获得北京市职业教育教学成果二等奖；专业群2名教师在2022年北京市技工院校教师教学能力大赛中获得二、三等奖、1名老师在北京市技工院校班主任基本功大赛中获得三等奖； 2名学生获得北京市三好学生和国家奖学金；累计2个学生团队获得中国国际互联网+大学生创新创业大赛（北京赛区）一三等奖。</w:t>
            </w:r>
          </w:p>
        </w:tc>
      </w:tr>
      <w:tr>
        <w:tblPrEx>
          <w:tblLayout w:type="fixed"/>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绩</w:t>
            </w:r>
            <w:r>
              <w:rPr>
                <w:rFonts w:hint="eastAsia" w:ascii="仿宋_GB2312" w:hAnsi="宋体" w:eastAsia="仿宋_GB2312" w:cs="宋体"/>
                <w:kern w:val="0"/>
                <w:sz w:val="21"/>
                <w:szCs w:val="21"/>
                <w:highlight w:val="none"/>
              </w:rPr>
              <w:br w:type="textWrapping"/>
            </w:r>
            <w:r>
              <w:rPr>
                <w:rFonts w:hint="eastAsia" w:ascii="仿宋_GB2312" w:hAnsi="宋体" w:eastAsia="仿宋_GB2312" w:cs="宋体"/>
                <w:kern w:val="0"/>
                <w:sz w:val="21"/>
                <w:szCs w:val="21"/>
                <w:highlight w:val="none"/>
              </w:rPr>
              <w:t>效</w:t>
            </w:r>
            <w:r>
              <w:rPr>
                <w:rFonts w:hint="eastAsia" w:ascii="仿宋_GB2312" w:hAnsi="宋体" w:eastAsia="仿宋_GB2312" w:cs="宋体"/>
                <w:kern w:val="0"/>
                <w:sz w:val="21"/>
                <w:szCs w:val="21"/>
                <w:highlight w:val="none"/>
              </w:rPr>
              <w:br w:type="textWrapping"/>
            </w:r>
            <w:r>
              <w:rPr>
                <w:rFonts w:hint="eastAsia" w:ascii="仿宋_GB2312" w:hAnsi="宋体" w:eastAsia="仿宋_GB2312" w:cs="宋体"/>
                <w:kern w:val="0"/>
                <w:sz w:val="21"/>
                <w:szCs w:val="21"/>
                <w:highlight w:val="none"/>
              </w:rPr>
              <w:t>指</w:t>
            </w:r>
            <w:r>
              <w:rPr>
                <w:rFonts w:hint="eastAsia" w:ascii="仿宋_GB2312" w:hAnsi="宋体" w:eastAsia="仿宋_GB2312" w:cs="宋体"/>
                <w:kern w:val="0"/>
                <w:sz w:val="21"/>
                <w:szCs w:val="21"/>
                <w:highlight w:val="none"/>
              </w:rPr>
              <w:br w:type="textWrapping"/>
            </w:r>
            <w:r>
              <w:rPr>
                <w:rFonts w:hint="eastAsia" w:ascii="仿宋_GB2312" w:hAnsi="宋体" w:eastAsia="仿宋_GB2312" w:cs="宋体"/>
                <w:kern w:val="0"/>
                <w:sz w:val="21"/>
                <w:szCs w:val="21"/>
                <w:highlight w:val="none"/>
              </w:rPr>
              <w:t>标</w:t>
            </w:r>
          </w:p>
        </w:tc>
        <w:tc>
          <w:tcPr>
            <w:tcW w:w="97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一级指标</w:t>
            </w:r>
          </w:p>
        </w:tc>
        <w:tc>
          <w:tcPr>
            <w:tcW w:w="110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二级指标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三级指标</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年度</w:t>
            </w:r>
          </w:p>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指标值</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实际</w:t>
            </w:r>
          </w:p>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完成值</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分值</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得分</w:t>
            </w:r>
          </w:p>
        </w:tc>
        <w:tc>
          <w:tcPr>
            <w:tcW w:w="17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 w:val="21"/>
                <w:szCs w:val="21"/>
                <w:highlight w:val="none"/>
              </w:rPr>
              <w:t>偏差原因分析及改进</w:t>
            </w:r>
          </w:p>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措施</w:t>
            </w: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产出指标</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数量指标</w:t>
            </w:r>
          </w:p>
        </w:tc>
        <w:tc>
          <w:tcPr>
            <w:tcW w:w="2137"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18"/>
                <w:szCs w:val="18"/>
                <w:u w:val="none"/>
                <w:lang w:val="en-US" w:eastAsia="zh-CN" w:bidi="ar"/>
              </w:rPr>
              <w:t>指标1：专业教学标准、岗位规范、质量标准</w:t>
            </w:r>
          </w:p>
        </w:tc>
        <w:tc>
          <w:tcPr>
            <w:tcW w:w="84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＝3个</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3</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2</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2</w:t>
            </w:r>
          </w:p>
        </w:tc>
        <w:tc>
          <w:tcPr>
            <w:tcW w:w="17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无</w:t>
            </w: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18"/>
                <w:szCs w:val="18"/>
                <w:u w:val="none"/>
                <w:lang w:val="en-US" w:eastAsia="zh-CN" w:bidi="ar"/>
              </w:rPr>
              <w:t>指标2：课程标准</w:t>
            </w:r>
          </w:p>
        </w:tc>
        <w:tc>
          <w:tcPr>
            <w:tcW w:w="84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＝8门</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8</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3</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3</w:t>
            </w:r>
          </w:p>
        </w:tc>
        <w:tc>
          <w:tcPr>
            <w:tcW w:w="17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无</w:t>
            </w: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18"/>
                <w:szCs w:val="18"/>
                <w:u w:val="none"/>
                <w:lang w:val="en-US" w:eastAsia="zh-CN" w:bidi="ar"/>
              </w:rPr>
              <w:t>指标3：数字化教学资源</w:t>
            </w:r>
          </w:p>
        </w:tc>
        <w:tc>
          <w:tcPr>
            <w:tcW w:w="84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≥1TB</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1</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2</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2</w:t>
            </w:r>
          </w:p>
        </w:tc>
        <w:tc>
          <w:tcPr>
            <w:tcW w:w="17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无</w:t>
            </w: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18"/>
                <w:szCs w:val="18"/>
                <w:u w:val="none"/>
                <w:lang w:val="en-US" w:eastAsia="zh-CN" w:bidi="ar"/>
              </w:rPr>
              <w:t>指标4：大师工作室质量监控系统</w:t>
            </w:r>
          </w:p>
        </w:tc>
        <w:tc>
          <w:tcPr>
            <w:tcW w:w="84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＝1个</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1</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2</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2</w:t>
            </w:r>
          </w:p>
        </w:tc>
        <w:tc>
          <w:tcPr>
            <w:tcW w:w="17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无</w:t>
            </w: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18"/>
                <w:szCs w:val="18"/>
                <w:u w:val="none"/>
                <w:lang w:val="en-US" w:eastAsia="zh-CN" w:bidi="ar"/>
              </w:rPr>
              <w:t>指标5：大师引领承担横向项目数量</w:t>
            </w:r>
          </w:p>
        </w:tc>
        <w:tc>
          <w:tcPr>
            <w:tcW w:w="84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≥3个</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3</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2</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2</w:t>
            </w:r>
          </w:p>
        </w:tc>
        <w:tc>
          <w:tcPr>
            <w:tcW w:w="17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无</w:t>
            </w: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18"/>
                <w:szCs w:val="18"/>
                <w:u w:val="none"/>
                <w:lang w:val="en-US" w:eastAsia="zh-CN" w:bidi="ar"/>
              </w:rPr>
              <w:t>指标6：人才培养方案</w:t>
            </w:r>
          </w:p>
        </w:tc>
        <w:tc>
          <w:tcPr>
            <w:tcW w:w="84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＝1套</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1</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3</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3</w:t>
            </w:r>
          </w:p>
        </w:tc>
        <w:tc>
          <w:tcPr>
            <w:tcW w:w="17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无</w:t>
            </w: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18"/>
                <w:szCs w:val="18"/>
                <w:u w:val="none"/>
                <w:lang w:val="en-US" w:eastAsia="zh-CN" w:bidi="ar"/>
              </w:rPr>
              <w:t>指标7：新增设备数量</w:t>
            </w:r>
          </w:p>
        </w:tc>
        <w:tc>
          <w:tcPr>
            <w:tcW w:w="84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≥100台（套）</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150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4</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4</w:t>
            </w:r>
          </w:p>
        </w:tc>
        <w:tc>
          <w:tcPr>
            <w:tcW w:w="17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无</w:t>
            </w: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18"/>
                <w:szCs w:val="18"/>
                <w:u w:val="none"/>
                <w:lang w:val="en-US" w:eastAsia="zh-CN" w:bidi="ar"/>
              </w:rPr>
              <w:t>指标8：培训包</w:t>
            </w:r>
          </w:p>
        </w:tc>
        <w:tc>
          <w:tcPr>
            <w:tcW w:w="84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≥4个</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4</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3</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3</w:t>
            </w:r>
          </w:p>
        </w:tc>
        <w:tc>
          <w:tcPr>
            <w:tcW w:w="17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无</w:t>
            </w: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18"/>
                <w:szCs w:val="18"/>
                <w:u w:val="none"/>
                <w:lang w:val="en-US" w:eastAsia="zh-CN" w:bidi="ar"/>
              </w:rPr>
              <w:t>指标9：课堂革命案例</w:t>
            </w:r>
          </w:p>
        </w:tc>
        <w:tc>
          <w:tcPr>
            <w:tcW w:w="84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≥3个</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4</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2</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2</w:t>
            </w:r>
          </w:p>
        </w:tc>
        <w:tc>
          <w:tcPr>
            <w:tcW w:w="17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无</w:t>
            </w: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18"/>
                <w:szCs w:val="18"/>
                <w:u w:val="none"/>
                <w:lang w:val="en-US" w:eastAsia="zh-CN" w:bidi="ar"/>
              </w:rPr>
              <w:t>指标10：实训学时数</w:t>
            </w:r>
          </w:p>
        </w:tc>
        <w:tc>
          <w:tcPr>
            <w:tcW w:w="84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≥500学时</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810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3</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3</w:t>
            </w:r>
          </w:p>
        </w:tc>
        <w:tc>
          <w:tcPr>
            <w:tcW w:w="17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无</w:t>
            </w:r>
          </w:p>
        </w:tc>
      </w:tr>
      <w:tr>
        <w:tblPrEx>
          <w:tblLayout w:type="fixed"/>
          <w:tblCellMar>
            <w:top w:w="0" w:type="dxa"/>
            <w:left w:w="108" w:type="dxa"/>
            <w:bottom w:w="0" w:type="dxa"/>
            <w:right w:w="108" w:type="dxa"/>
          </w:tblCellMar>
        </w:tblPrEx>
        <w:trPr>
          <w:trHeight w:val="322"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18"/>
                <w:szCs w:val="18"/>
                <w:u w:val="none"/>
                <w:lang w:val="en-US" w:eastAsia="zh-CN" w:bidi="ar"/>
              </w:rPr>
              <w:t>指标11：大师组织技艺革新技术论坛</w:t>
            </w:r>
          </w:p>
        </w:tc>
        <w:tc>
          <w:tcPr>
            <w:tcW w:w="84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＝6个</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6</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2</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2</w:t>
            </w:r>
          </w:p>
        </w:tc>
        <w:tc>
          <w:tcPr>
            <w:tcW w:w="17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无</w:t>
            </w: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18"/>
                <w:szCs w:val="18"/>
                <w:u w:val="none"/>
                <w:lang w:val="en-US" w:eastAsia="zh-CN" w:bidi="ar"/>
              </w:rPr>
              <w:t>指标12：面向社会开展的培训（人天）</w:t>
            </w:r>
          </w:p>
        </w:tc>
        <w:tc>
          <w:tcPr>
            <w:tcW w:w="84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≥1000个</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4200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2</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2</w:t>
            </w:r>
          </w:p>
        </w:tc>
        <w:tc>
          <w:tcPr>
            <w:tcW w:w="17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无</w:t>
            </w: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18"/>
                <w:szCs w:val="18"/>
                <w:u w:val="none"/>
                <w:lang w:val="en-US" w:eastAsia="zh-CN" w:bidi="ar"/>
              </w:rPr>
              <w:t>指标13：课程思政案例</w:t>
            </w:r>
          </w:p>
        </w:tc>
        <w:tc>
          <w:tcPr>
            <w:tcW w:w="84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≥5个</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5</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2</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2</w:t>
            </w:r>
          </w:p>
        </w:tc>
        <w:tc>
          <w:tcPr>
            <w:tcW w:w="17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无</w:t>
            </w: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18"/>
                <w:szCs w:val="18"/>
                <w:u w:val="none"/>
                <w:lang w:val="en-US" w:eastAsia="zh-CN" w:bidi="ar"/>
              </w:rPr>
              <w:t>指标14：实训室数量</w:t>
            </w:r>
          </w:p>
        </w:tc>
        <w:tc>
          <w:tcPr>
            <w:tcW w:w="84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≥2个</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2</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4</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4</w:t>
            </w:r>
          </w:p>
        </w:tc>
        <w:tc>
          <w:tcPr>
            <w:tcW w:w="17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无</w:t>
            </w: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 w:val="21"/>
                <w:szCs w:val="21"/>
                <w:highlight w:val="none"/>
                <w:lang w:eastAsia="zh-CN"/>
              </w:rPr>
              <w:t>质量指标</w:t>
            </w:r>
          </w:p>
        </w:tc>
        <w:tc>
          <w:tcPr>
            <w:tcW w:w="2137"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18"/>
                <w:szCs w:val="18"/>
                <w:u w:val="none"/>
                <w:lang w:val="en-US" w:eastAsia="zh-CN" w:bidi="ar"/>
              </w:rPr>
              <w:t>指标1：技术服务项目验收通过率</w:t>
            </w:r>
          </w:p>
        </w:tc>
        <w:tc>
          <w:tcPr>
            <w:tcW w:w="84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＝100%</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100%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4</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4</w:t>
            </w:r>
          </w:p>
        </w:tc>
        <w:tc>
          <w:tcPr>
            <w:tcW w:w="17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无</w:t>
            </w: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18"/>
                <w:szCs w:val="18"/>
                <w:u w:val="none"/>
                <w:lang w:val="en-US" w:eastAsia="zh-CN" w:bidi="ar"/>
              </w:rPr>
              <w:t>指标2：技术培训合格率</w:t>
            </w:r>
          </w:p>
        </w:tc>
        <w:tc>
          <w:tcPr>
            <w:tcW w:w="84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≥90%</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95%</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2</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2</w:t>
            </w:r>
          </w:p>
        </w:tc>
        <w:tc>
          <w:tcPr>
            <w:tcW w:w="17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无</w:t>
            </w: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18"/>
                <w:szCs w:val="18"/>
                <w:u w:val="none"/>
                <w:lang w:val="en-US" w:eastAsia="zh-CN" w:bidi="ar"/>
              </w:rPr>
              <w:t>指标3：设备采购项目验收通过率</w:t>
            </w:r>
          </w:p>
        </w:tc>
        <w:tc>
          <w:tcPr>
            <w:tcW w:w="84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＝100%</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100%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3</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3</w:t>
            </w:r>
          </w:p>
        </w:tc>
        <w:tc>
          <w:tcPr>
            <w:tcW w:w="17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无</w:t>
            </w: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时效指标</w:t>
            </w:r>
          </w:p>
        </w:tc>
        <w:tc>
          <w:tcPr>
            <w:tcW w:w="2137"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18"/>
                <w:szCs w:val="18"/>
                <w:u w:val="none"/>
                <w:lang w:val="en-US" w:eastAsia="zh-CN" w:bidi="ar"/>
              </w:rPr>
              <w:t>指标1：项目建设各项任务完成时间</w:t>
            </w:r>
          </w:p>
        </w:tc>
        <w:tc>
          <w:tcPr>
            <w:tcW w:w="84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12个月</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12个月</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2</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2</w:t>
            </w:r>
          </w:p>
        </w:tc>
        <w:tc>
          <w:tcPr>
            <w:tcW w:w="17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无</w:t>
            </w: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18"/>
                <w:szCs w:val="18"/>
                <w:u w:val="none"/>
                <w:lang w:val="en-US" w:eastAsia="zh-CN" w:bidi="ar"/>
              </w:rPr>
              <w:t>指标2：教学培训计划完成时间</w:t>
            </w:r>
          </w:p>
        </w:tc>
        <w:tc>
          <w:tcPr>
            <w:tcW w:w="84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12个月</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12个月</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3</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3</w:t>
            </w:r>
          </w:p>
        </w:tc>
        <w:tc>
          <w:tcPr>
            <w:tcW w:w="17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无</w:t>
            </w: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7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成本指标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指标1：</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7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7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7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562"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效益指标</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经济效益</w:t>
            </w:r>
          </w:p>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指标1：建成校内外实训基地，完成技术革新课题</w:t>
            </w:r>
          </w:p>
        </w:tc>
        <w:tc>
          <w:tcPr>
            <w:tcW w:w="84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优</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优</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10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10</w:t>
            </w:r>
          </w:p>
        </w:tc>
        <w:tc>
          <w:tcPr>
            <w:tcW w:w="17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无</w:t>
            </w: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7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7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社会效益</w:t>
            </w:r>
          </w:p>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指标1：环境污染</w:t>
            </w:r>
          </w:p>
        </w:tc>
        <w:tc>
          <w:tcPr>
            <w:tcW w:w="84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达标</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达标</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5</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5</w:t>
            </w:r>
          </w:p>
        </w:tc>
        <w:tc>
          <w:tcPr>
            <w:tcW w:w="17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无</w:t>
            </w: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指标2：培养学生掌握数字光影技术</w:t>
            </w:r>
          </w:p>
        </w:tc>
        <w:tc>
          <w:tcPr>
            <w:tcW w:w="84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达标先进</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达标先进</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10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10</w:t>
            </w:r>
          </w:p>
        </w:tc>
        <w:tc>
          <w:tcPr>
            <w:tcW w:w="17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无</w:t>
            </w: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7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生态效益</w:t>
            </w:r>
          </w:p>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指标1：</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7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7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7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可持续影响指标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指标1：可持续影响时间</w:t>
            </w:r>
          </w:p>
        </w:tc>
        <w:tc>
          <w:tcPr>
            <w:tcW w:w="84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6年</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6年</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5</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5</w:t>
            </w:r>
          </w:p>
        </w:tc>
        <w:tc>
          <w:tcPr>
            <w:tcW w:w="17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无</w:t>
            </w: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7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7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满意度</w:t>
            </w:r>
          </w:p>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指标</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服务对象满意度标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指标1：学生满意度</w:t>
            </w:r>
          </w:p>
        </w:tc>
        <w:tc>
          <w:tcPr>
            <w:tcW w:w="84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仿宋_GB2312" w:hAnsi="宋体" w:eastAsia="仿宋_GB2312" w:cs="宋体"/>
                <w:kern w:val="0"/>
                <w:sz w:val="21"/>
                <w:szCs w:val="21"/>
                <w:highlight w:val="none"/>
                <w:lang w:val="en-US"/>
              </w:rPr>
            </w:pPr>
            <w:r>
              <w:rPr>
                <w:rFonts w:hint="eastAsia" w:ascii="宋体" w:hAnsi="宋体" w:cs="宋体"/>
                <w:i w:val="0"/>
                <w:color w:val="000000"/>
                <w:kern w:val="0"/>
                <w:sz w:val="18"/>
                <w:szCs w:val="18"/>
                <w:u w:val="none"/>
                <w:lang w:val="en-US" w:eastAsia="zh-CN" w:bidi="ar"/>
              </w:rPr>
              <w:t>≥</w:t>
            </w:r>
            <w:r>
              <w:rPr>
                <w:rFonts w:hint="eastAsia" w:ascii="宋体" w:hAnsi="宋体" w:eastAsia="宋体" w:cs="宋体"/>
                <w:i w:val="0"/>
                <w:color w:val="000000"/>
                <w:kern w:val="0"/>
                <w:sz w:val="18"/>
                <w:szCs w:val="18"/>
                <w:u w:val="none"/>
                <w:lang w:val="en-US" w:eastAsia="zh-CN" w:bidi="ar"/>
              </w:rPr>
              <w:t>90</w:t>
            </w:r>
            <w:r>
              <w:rPr>
                <w:rFonts w:hint="eastAsia" w:ascii="宋体" w:hAnsi="宋体" w:cs="宋体"/>
                <w:i w:val="0"/>
                <w:color w:val="000000"/>
                <w:kern w:val="0"/>
                <w:sz w:val="18"/>
                <w:szCs w:val="18"/>
                <w:u w:val="none"/>
                <w:lang w:val="en-US" w:eastAsia="zh-CN" w:bidi="ar"/>
              </w:rPr>
              <w:t>%</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仿宋_GB2312" w:hAnsi="宋体" w:eastAsia="仿宋_GB2312" w:cs="宋体"/>
                <w:kern w:val="0"/>
                <w:sz w:val="21"/>
                <w:szCs w:val="21"/>
                <w:highlight w:val="none"/>
                <w:lang w:val="en-US"/>
              </w:rPr>
            </w:pPr>
            <w:r>
              <w:rPr>
                <w:rFonts w:hint="eastAsia" w:ascii="宋体" w:hAnsi="宋体" w:eastAsia="宋体" w:cs="宋体"/>
                <w:i w:val="0"/>
                <w:color w:val="000000"/>
                <w:kern w:val="0"/>
                <w:sz w:val="18"/>
                <w:szCs w:val="18"/>
                <w:u w:val="none"/>
                <w:lang w:val="en-US" w:eastAsia="zh-CN" w:bidi="ar"/>
              </w:rPr>
              <w:t>94</w:t>
            </w:r>
            <w:r>
              <w:rPr>
                <w:rFonts w:hint="eastAsia" w:ascii="宋体" w:hAnsi="宋体" w:cs="宋体"/>
                <w:i w:val="0"/>
                <w:color w:val="000000"/>
                <w:kern w:val="0"/>
                <w:sz w:val="18"/>
                <w:szCs w:val="18"/>
                <w:u w:val="none"/>
                <w:lang w:val="en-US" w:eastAsia="zh-CN" w:bidi="ar"/>
              </w:rPr>
              <w:t>%</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5</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5</w:t>
            </w:r>
          </w:p>
        </w:tc>
        <w:tc>
          <w:tcPr>
            <w:tcW w:w="17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无</w:t>
            </w: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指标2：家长满意度</w:t>
            </w:r>
          </w:p>
        </w:tc>
        <w:tc>
          <w:tcPr>
            <w:tcW w:w="84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仿宋_GB2312" w:hAnsi="宋体" w:eastAsia="仿宋_GB2312" w:cs="宋体"/>
                <w:kern w:val="0"/>
                <w:sz w:val="21"/>
                <w:szCs w:val="21"/>
                <w:highlight w:val="none"/>
                <w:lang w:val="en-US"/>
              </w:rPr>
            </w:pPr>
            <w:r>
              <w:rPr>
                <w:rFonts w:hint="eastAsia" w:ascii="宋体" w:hAnsi="宋体" w:cs="宋体"/>
                <w:i w:val="0"/>
                <w:color w:val="000000"/>
                <w:kern w:val="0"/>
                <w:sz w:val="18"/>
                <w:szCs w:val="18"/>
                <w:u w:val="none"/>
                <w:lang w:val="en-US" w:eastAsia="zh-CN" w:bidi="ar"/>
              </w:rPr>
              <w:t>≥</w:t>
            </w:r>
            <w:r>
              <w:rPr>
                <w:rFonts w:hint="eastAsia" w:ascii="宋体" w:hAnsi="宋体" w:eastAsia="宋体" w:cs="宋体"/>
                <w:i w:val="0"/>
                <w:color w:val="000000"/>
                <w:kern w:val="0"/>
                <w:sz w:val="18"/>
                <w:szCs w:val="18"/>
                <w:u w:val="none"/>
                <w:lang w:val="en-US" w:eastAsia="zh-CN" w:bidi="ar"/>
              </w:rPr>
              <w:t>90</w:t>
            </w:r>
            <w:r>
              <w:rPr>
                <w:rFonts w:hint="eastAsia" w:ascii="宋体" w:hAnsi="宋体" w:cs="宋体"/>
                <w:i w:val="0"/>
                <w:color w:val="000000"/>
                <w:kern w:val="0"/>
                <w:sz w:val="18"/>
                <w:szCs w:val="18"/>
                <w:u w:val="none"/>
                <w:lang w:val="en-US" w:eastAsia="zh-CN" w:bidi="ar"/>
              </w:rPr>
              <w:t>%</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仿宋_GB2312" w:hAnsi="宋体" w:eastAsia="仿宋_GB2312" w:cs="宋体"/>
                <w:kern w:val="0"/>
                <w:sz w:val="21"/>
                <w:szCs w:val="21"/>
                <w:highlight w:val="none"/>
                <w:lang w:val="en-US"/>
              </w:rPr>
            </w:pPr>
            <w:r>
              <w:rPr>
                <w:rFonts w:hint="eastAsia" w:ascii="宋体" w:hAnsi="宋体" w:eastAsia="宋体" w:cs="宋体"/>
                <w:i w:val="0"/>
                <w:color w:val="000000"/>
                <w:kern w:val="0"/>
                <w:sz w:val="18"/>
                <w:szCs w:val="18"/>
                <w:u w:val="none"/>
                <w:lang w:val="en-US" w:eastAsia="zh-CN" w:bidi="ar"/>
              </w:rPr>
              <w:t>90</w:t>
            </w:r>
            <w:r>
              <w:rPr>
                <w:rFonts w:hint="eastAsia" w:ascii="宋体" w:hAnsi="宋体" w:cs="宋体"/>
                <w:i w:val="0"/>
                <w:color w:val="000000"/>
                <w:kern w:val="0"/>
                <w:sz w:val="18"/>
                <w:szCs w:val="18"/>
                <w:u w:val="none"/>
                <w:lang w:val="en-US" w:eastAsia="zh-CN" w:bidi="ar"/>
              </w:rPr>
              <w:t>%</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5</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5</w:t>
            </w:r>
          </w:p>
        </w:tc>
        <w:tc>
          <w:tcPr>
            <w:tcW w:w="17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无</w:t>
            </w: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7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总分</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color w:val="000000"/>
                <w:kern w:val="0"/>
                <w:sz w:val="21"/>
                <w:szCs w:val="21"/>
                <w:highlight w:val="none"/>
                <w:lang w:val="en-US" w:eastAsia="zh-CN"/>
              </w:rPr>
            </w:pPr>
            <w:r>
              <w:rPr>
                <w:rFonts w:hint="eastAsia" w:ascii="仿宋_GB2312" w:hAnsi="宋体" w:eastAsia="仿宋_GB2312" w:cs="宋体"/>
                <w:color w:val="000000"/>
                <w:kern w:val="0"/>
                <w:sz w:val="21"/>
                <w:szCs w:val="21"/>
                <w:highlight w:val="none"/>
                <w:lang w:val="en-US" w:eastAsia="zh-CN"/>
              </w:rPr>
              <w:t>100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color w:val="000000"/>
                <w:kern w:val="0"/>
                <w:sz w:val="21"/>
                <w:szCs w:val="21"/>
                <w:highlight w:val="none"/>
                <w:lang w:val="en-US" w:eastAsia="zh-CN"/>
              </w:rPr>
            </w:pPr>
            <w:r>
              <w:rPr>
                <w:rFonts w:hint="eastAsia" w:ascii="仿宋_GB2312" w:hAnsi="宋体" w:eastAsia="仿宋_GB2312" w:cs="宋体"/>
                <w:color w:val="000000"/>
                <w:kern w:val="0"/>
                <w:sz w:val="21"/>
                <w:szCs w:val="21"/>
                <w:highlight w:val="none"/>
                <w:lang w:val="en-US" w:eastAsia="zh-CN"/>
              </w:rPr>
              <w:t>99.9</w:t>
            </w:r>
          </w:p>
        </w:tc>
        <w:tc>
          <w:tcPr>
            <w:tcW w:w="17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bl>
    <w:p>
      <w:pPr>
        <w:rPr>
          <w:rFonts w:hint="eastAsia" w:ascii="仿宋_GB2312" w:eastAsia="仿宋_GB2312"/>
          <w:vanish/>
          <w:sz w:val="32"/>
          <w:szCs w:val="32"/>
        </w:rPr>
      </w:pPr>
    </w:p>
    <w:p>
      <w:pPr>
        <w:widowControl/>
        <w:jc w:val="left"/>
        <w:rPr>
          <w:rFonts w:ascii="仿宋_GB2312" w:hAnsi="宋体" w:eastAsia="仿宋_GB2312" w:cs="宋体"/>
          <w:color w:val="000000"/>
          <w:kern w:val="0"/>
          <w:sz w:val="32"/>
          <w:szCs w:val="32"/>
        </w:rPr>
      </w:pPr>
    </w:p>
    <w:p>
      <w:pPr>
        <w:widowControl/>
        <w:spacing w:line="520" w:lineRule="exact"/>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填报注意事项：</w:t>
      </w:r>
    </w:p>
    <w:p>
      <w:pPr>
        <w:widowControl/>
        <w:spacing w:line="52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1.得分一档最高不能超过该指标分值上限。</w:t>
      </w:r>
    </w:p>
    <w:p>
      <w:pPr>
        <w:widowControl/>
        <w:spacing w:line="520" w:lineRule="exact"/>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3.请在“偏差原因分析及改进措施”中说明偏离目标、不能完成目标的原因及拟采取的措施。</w:t>
      </w:r>
    </w:p>
    <w:p>
      <w:pPr>
        <w:spacing w:line="52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4.90（含）-100分为优、80（含）-90分为良、60（含）-80分为中、60分以下为差。</w:t>
      </w:r>
    </w:p>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11B74362"/>
    <w:rsid w:val="142460EB"/>
    <w:rsid w:val="37173543"/>
    <w:rsid w:val="3FF76880"/>
    <w:rsid w:val="55D27D01"/>
    <w:rsid w:val="585C4059"/>
    <w:rsid w:val="6E6D67C3"/>
    <w:rsid w:val="71E947C9"/>
    <w:rsid w:val="72434811"/>
    <w:rsid w:val="7AB7FF50"/>
    <w:rsid w:val="7BFEB0DB"/>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WANG.Y</cp:lastModifiedBy>
  <cp:lastPrinted>2022-03-24T10:01:00Z</cp:lastPrinted>
  <dcterms:modified xsi:type="dcterms:W3CDTF">2024-04-26T02:45:19Z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