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keepNext/>
        <w:keepLines w:val="0"/>
        <w:pageBreakBefore w:val="0"/>
        <w:widowControl w:val="0"/>
        <w:kinsoku/>
        <w:wordWrap/>
        <w:overflowPunct/>
        <w:topLinePunct w:val="0"/>
        <w:autoSpaceDE/>
        <w:autoSpaceDN/>
        <w:bidi w:val="0"/>
        <w:adjustRightInd/>
        <w:snapToGrid/>
        <w:spacing w:line="480" w:lineRule="exact"/>
        <w:textAlignment w:val="auto"/>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6"/>
        <w:tblW w:w="8522" w:type="dxa"/>
        <w:jc w:val="center"/>
        <w:tblInd w:w="0" w:type="dxa"/>
        <w:tblLayout w:type="fixed"/>
        <w:tblCellMar>
          <w:top w:w="0" w:type="dxa"/>
          <w:left w:w="108" w:type="dxa"/>
          <w:bottom w:w="0" w:type="dxa"/>
          <w:right w:w="108" w:type="dxa"/>
        </w:tblCellMar>
      </w:tblPr>
      <w:tblGrid>
        <w:gridCol w:w="442"/>
        <w:gridCol w:w="486"/>
        <w:gridCol w:w="761"/>
        <w:gridCol w:w="1562"/>
        <w:gridCol w:w="1437"/>
        <w:gridCol w:w="1489"/>
        <w:gridCol w:w="644"/>
        <w:gridCol w:w="954"/>
        <w:gridCol w:w="747"/>
      </w:tblGrid>
      <w:tr>
        <w:tblPrEx>
          <w:tblLayout w:type="fixed"/>
          <w:tblCellMar>
            <w:top w:w="0" w:type="dxa"/>
            <w:left w:w="108" w:type="dxa"/>
            <w:bottom w:w="0" w:type="dxa"/>
            <w:right w:w="108" w:type="dxa"/>
          </w:tblCellMar>
        </w:tblPrEx>
        <w:trPr>
          <w:trHeight w:val="0" w:hRule="atLeast"/>
          <w:jc w:val="center"/>
        </w:trPr>
        <w:tc>
          <w:tcPr>
            <w:tcW w:w="92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项目名称</w:t>
            </w:r>
          </w:p>
        </w:tc>
        <w:tc>
          <w:tcPr>
            <w:tcW w:w="7594"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时尚消费服务专业群</w:t>
            </w:r>
          </w:p>
        </w:tc>
      </w:tr>
      <w:tr>
        <w:tblPrEx>
          <w:tblLayout w:type="fixed"/>
          <w:tblCellMar>
            <w:top w:w="0" w:type="dxa"/>
            <w:left w:w="108" w:type="dxa"/>
            <w:bottom w:w="0" w:type="dxa"/>
            <w:right w:w="108" w:type="dxa"/>
          </w:tblCellMar>
        </w:tblPrEx>
        <w:trPr>
          <w:trHeight w:val="0" w:hRule="atLeast"/>
          <w:jc w:val="center"/>
        </w:trPr>
        <w:tc>
          <w:tcPr>
            <w:tcW w:w="92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主管部门</w:t>
            </w:r>
          </w:p>
        </w:tc>
        <w:tc>
          <w:tcPr>
            <w:tcW w:w="376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北京时尚控股有限责任公司</w:t>
            </w:r>
          </w:p>
        </w:tc>
        <w:tc>
          <w:tcPr>
            <w:tcW w:w="14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实施单位</w:t>
            </w:r>
          </w:p>
        </w:tc>
        <w:tc>
          <w:tcPr>
            <w:tcW w:w="234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北京市新媒体技师学院</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（北京时尚控股有限责任公司党校）</w:t>
            </w:r>
          </w:p>
        </w:tc>
      </w:tr>
      <w:tr>
        <w:tblPrEx>
          <w:tblLayout w:type="fixed"/>
          <w:tblCellMar>
            <w:top w:w="0" w:type="dxa"/>
            <w:left w:w="108" w:type="dxa"/>
            <w:bottom w:w="0" w:type="dxa"/>
            <w:right w:w="108" w:type="dxa"/>
          </w:tblCellMar>
        </w:tblPrEx>
        <w:trPr>
          <w:trHeight w:val="0" w:hRule="atLeast"/>
          <w:jc w:val="center"/>
        </w:trPr>
        <w:tc>
          <w:tcPr>
            <w:tcW w:w="92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项目负责人</w:t>
            </w:r>
          </w:p>
        </w:tc>
        <w:tc>
          <w:tcPr>
            <w:tcW w:w="376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那淼</w:t>
            </w:r>
          </w:p>
        </w:tc>
        <w:tc>
          <w:tcPr>
            <w:tcW w:w="14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联系电话</w:t>
            </w:r>
          </w:p>
        </w:tc>
        <w:tc>
          <w:tcPr>
            <w:tcW w:w="234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13501185078</w:t>
            </w:r>
          </w:p>
        </w:tc>
      </w:tr>
      <w:tr>
        <w:tblPrEx>
          <w:tblLayout w:type="fixed"/>
          <w:tblCellMar>
            <w:top w:w="0" w:type="dxa"/>
            <w:left w:w="108" w:type="dxa"/>
            <w:bottom w:w="0" w:type="dxa"/>
            <w:right w:w="108" w:type="dxa"/>
          </w:tblCellMar>
        </w:tblPrEx>
        <w:trPr>
          <w:trHeight w:val="0" w:hRule="atLeast"/>
          <w:jc w:val="center"/>
        </w:trPr>
        <w:tc>
          <w:tcPr>
            <w:tcW w:w="92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项目资金</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（万元）</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年初预</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算数</w:t>
            </w:r>
          </w:p>
        </w:tc>
        <w:tc>
          <w:tcPr>
            <w:tcW w:w="143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全年预</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算数</w:t>
            </w:r>
          </w:p>
        </w:tc>
        <w:tc>
          <w:tcPr>
            <w:tcW w:w="14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全年</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执行数</w:t>
            </w:r>
          </w:p>
        </w:tc>
        <w:tc>
          <w:tcPr>
            <w:tcW w:w="64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分值</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执行率</w:t>
            </w:r>
          </w:p>
        </w:tc>
        <w:tc>
          <w:tcPr>
            <w:tcW w:w="74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得分</w:t>
            </w:r>
          </w:p>
        </w:tc>
      </w:tr>
      <w:tr>
        <w:tblPrEx>
          <w:tblLayout w:type="fixed"/>
          <w:tblCellMar>
            <w:top w:w="0" w:type="dxa"/>
            <w:left w:w="108" w:type="dxa"/>
            <w:bottom w:w="0" w:type="dxa"/>
            <w:right w:w="108" w:type="dxa"/>
          </w:tblCellMar>
        </w:tblPrEx>
        <w:trPr>
          <w:trHeight w:val="0" w:hRule="atLeast"/>
          <w:jc w:val="center"/>
        </w:trPr>
        <w:tc>
          <w:tcPr>
            <w:tcW w:w="92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年度资金总额</w:t>
            </w:r>
          </w:p>
        </w:tc>
        <w:tc>
          <w:tcPr>
            <w:tcW w:w="156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1566.895372</w:t>
            </w:r>
          </w:p>
        </w:tc>
        <w:tc>
          <w:tcPr>
            <w:tcW w:w="14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1023.487580</w:t>
            </w:r>
          </w:p>
        </w:tc>
        <w:tc>
          <w:tcPr>
            <w:tcW w:w="148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1022.317730</w:t>
            </w:r>
          </w:p>
        </w:tc>
        <w:tc>
          <w:tcPr>
            <w:tcW w:w="64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10</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99.89%</w:t>
            </w:r>
          </w:p>
        </w:tc>
        <w:tc>
          <w:tcPr>
            <w:tcW w:w="74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10.0</w:t>
            </w:r>
          </w:p>
        </w:tc>
      </w:tr>
      <w:tr>
        <w:tblPrEx>
          <w:tblLayout w:type="fixed"/>
          <w:tblCellMar>
            <w:top w:w="0" w:type="dxa"/>
            <w:left w:w="108" w:type="dxa"/>
            <w:bottom w:w="0" w:type="dxa"/>
            <w:right w:w="108" w:type="dxa"/>
          </w:tblCellMar>
        </w:tblPrEx>
        <w:trPr>
          <w:trHeight w:val="0" w:hRule="atLeast"/>
          <w:jc w:val="center"/>
        </w:trPr>
        <w:tc>
          <w:tcPr>
            <w:tcW w:w="92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其中：当年财政</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拨款</w:t>
            </w:r>
          </w:p>
        </w:tc>
        <w:tc>
          <w:tcPr>
            <w:tcW w:w="156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1066.895372</w:t>
            </w:r>
          </w:p>
        </w:tc>
        <w:tc>
          <w:tcPr>
            <w:tcW w:w="14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523.487580</w:t>
            </w:r>
          </w:p>
        </w:tc>
        <w:tc>
          <w:tcPr>
            <w:tcW w:w="148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523.177730</w:t>
            </w:r>
          </w:p>
        </w:tc>
        <w:tc>
          <w:tcPr>
            <w:tcW w:w="64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99.94%</w:t>
            </w:r>
          </w:p>
        </w:tc>
        <w:tc>
          <w:tcPr>
            <w:tcW w:w="74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0" w:hRule="atLeast"/>
          <w:jc w:val="center"/>
        </w:trPr>
        <w:tc>
          <w:tcPr>
            <w:tcW w:w="92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 xml:space="preserve">      上年结转资金</w:t>
            </w:r>
          </w:p>
        </w:tc>
        <w:tc>
          <w:tcPr>
            <w:tcW w:w="156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500.00</w:t>
            </w:r>
          </w:p>
        </w:tc>
        <w:tc>
          <w:tcPr>
            <w:tcW w:w="14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500.00</w:t>
            </w:r>
          </w:p>
        </w:tc>
        <w:tc>
          <w:tcPr>
            <w:tcW w:w="148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499.14</w:t>
            </w:r>
          </w:p>
        </w:tc>
        <w:tc>
          <w:tcPr>
            <w:tcW w:w="64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99.83%</w:t>
            </w:r>
          </w:p>
        </w:tc>
        <w:tc>
          <w:tcPr>
            <w:tcW w:w="74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0" w:hRule="atLeast"/>
          <w:jc w:val="center"/>
        </w:trPr>
        <w:tc>
          <w:tcPr>
            <w:tcW w:w="92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 xml:space="preserve">  其他资金</w:t>
            </w:r>
          </w:p>
        </w:tc>
        <w:tc>
          <w:tcPr>
            <w:tcW w:w="156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43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4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64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74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0" w:hRule="atLeast"/>
          <w:jc w:val="center"/>
        </w:trPr>
        <w:tc>
          <w:tcPr>
            <w:tcW w:w="44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年度总体目标</w:t>
            </w:r>
          </w:p>
        </w:tc>
        <w:tc>
          <w:tcPr>
            <w:tcW w:w="424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预期目标</w:t>
            </w:r>
          </w:p>
        </w:tc>
        <w:tc>
          <w:tcPr>
            <w:tcW w:w="383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实际完成情况</w:t>
            </w: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24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"项目建设总体目标（2022年-2024年）： 服务北京“四个中心”功能定位，面向首都时尚产业特别是时尚消费服务领域，瞄准时尚消费服务高技能人才需求，以电子商务专业（品牌运营方向）为核心，科学组建时尚消费服务专业群，依托世界技能大赛中国集训基地、国家高技能人才培训基地、北京时尚产业学院等平台，以提高人才培养质量为主线，以强有力机制建设为保障，经过三年建设，专业群在专业实力、师资队伍、信息化资源建设、技术技能平台、社会服务等方面显著提升，服务首都时尚产业发展的能力显著提升，形成可借鉴、可推广的专业群建设经验，实现建设面向首都时尚消费服务业有特色、高水平专业群建设目标，打造首都领先、特色鲜明、与国际接轨、具有示范引领作用的有特色、高水平专业群。项目建设经费总额1497.2万元，财政投入1497.2万元（其中2022年654.6万元，2023年556.8万元，2024年285.8万元）。2023年年度目标： 1.优化“四合一、三层级、双螺旋、e平台”开放融合人才培养模式 。   </w:t>
            </w:r>
          </w:p>
          <w:p>
            <w:pPr>
              <w:widowControl/>
              <w:spacing w:line="240" w:lineRule="exact"/>
              <w:jc w:val="both"/>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进一步修订，丰富专业群德育育人体系实施方案内容 ；完善专业群课程体系构建， “四合一、三层级、双螺旋、e平台”的学制人才培养模式进一步优化；完成“会展服务与管理专业时尚展会策划与服务方向”新专业申报；开展特色班级建设活动及学生发展评价改革，建立学生成长档案，为学生提供成长发展记录。  2.修订专业群课程体系，开发企业项目课程，建设智慧课堂。 </w:t>
            </w:r>
          </w:p>
          <w:p>
            <w:pPr>
              <w:widowControl/>
              <w:spacing w:line="240" w:lineRule="exact"/>
              <w:jc w:val="both"/>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完善平台共享课、专业进阶课和企业项目课的专业群课程体系方案，推进专业群课程体系重构；对应课程体系，修订已有课程资源，根据一体化课程开发规程，开发专业进阶课程、企业项目课程，完成部分专业进阶课程资源的数字化建设；完成智慧课堂建设并在各专业教学中推广应用，开展教师信息化资源应用交流活动。 3.实施课堂革命，开展教学诊断并改进，完善“三位一体”学生学业评价制度。 根据“三有”课堂实施方案，实施课堂革命，开展课堂教学诊断并持续改进；基于课堂教学模式改革，完善课堂教学评价标准，修订课堂教学评价制度；完善学生学业评价标准，落实“三位一体”学生学业评价制度。 4.实施专业群“4341”教师队伍能力提升计划，提升教师的教学、实践和教科研能力。 </w:t>
            </w:r>
          </w:p>
          <w:p>
            <w:pPr>
              <w:widowControl/>
              <w:spacing w:line="240" w:lineRule="exact"/>
              <w:jc w:val="both"/>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实施专业群“4341”教师队伍能力提升计划，形成“专业带头人”、“课程负责人”选聘办法、教师下企业实践考核制度并开展实施；吸纳品牌运营大师，选拔骨干教师，通过教师参加教学竞赛、课堂教学能力培训，提升教师教学能力；通过申报市级课题，完成校内教科研课题，提升教师的教科研能力；通过鼓励教师下企业实践，体验职业岗位工作任务与企业一线工作人员和管理人员进行广泛交流，提升教师的岗位实践能力。 5.建设“共建共享型”时尚消费服务综合实训基地。 </w:t>
            </w:r>
          </w:p>
          <w:p>
            <w:pPr>
              <w:widowControl/>
              <w:spacing w:line="240" w:lineRule="exact"/>
              <w:jc w:val="both"/>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总结实训基地共建共享经验，完善共建时尚消费服务综合实训基地建设方案并开展建设，基本完成基于世赛中国美发实训基地的形象设计实训基地及服务展示实训基地、品牌运营实训基地建设；开展企业职工培训、成果转化、职业技能等级考试。 6.深化产教融合，筹划建设区级、市级技能大师工作室，助力时尚消费服务业发展。 </w:t>
            </w:r>
          </w:p>
          <w:p>
            <w:pPr>
              <w:widowControl/>
              <w:spacing w:line="240" w:lineRule="exact"/>
              <w:jc w:val="both"/>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依托时尚教育平台与北京时尚控股公司开展技术技能交流活动，完善世赛技能大赛竞赛训练平台建设；建设产教融合特色文化环境，围绕企业需求，针对企业需求完成企业新型学徒培养及职工培训工作；深化“贾婧文大兴区首席技师工作室”建设，开展技术交流服务；新建校内技能大师工作室，筹划区级、市级技能大师工作室申办，助力北京国际消费中心城市建设。 7.服务落实国家京津冀协同发展战略战略，聚焦区域经济发展需要，提升社会服务能力。服务国家京津冀协同发展战略，开展高技能人才协同培养，开展企业员工互联网营销、摄影摄像、电商直播等技能培训；完成时尚展会服务策划、形象设计服务。助力国家乡村振兴战略，开展乡村电商直播、品牌运营培训和岗位实践活动；开展雄安新区企业相关人员电商品牌运营技能培训、京蒙精准帮扶师资培训。 8.开展国际友好学校交流活动，建立时尚消费服务交流中心。 积极与国外专业院校合作，通过友好学校互动机制，实现校内与国外院校师生游学互访；积极促进中外院校时尚消费服务类专业进行文化交流，建立时尚消费服务交流中心；开展国际交流活动，结合专业群建设需要，初步开展时尚消费服务交流中心建设；根据国际化特色课堂教学模式试行情况合理调整，助力课堂教学提质增效。 9.进一步完善动态保障机制，促进专业群可持续发展。 </w:t>
            </w:r>
          </w:p>
          <w:p>
            <w:pPr>
              <w:widowControl/>
              <w:spacing w:line="240" w:lineRule="exact"/>
              <w:jc w:val="both"/>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充分发挥党组织在专业群建设中的政治核心作用，全面贯彻党的教育方针；完善专业群各层建设，完善制定组织机构各层级工作章程；在学校专业群领导小组的领导下，实施专业群总体规划、专业设置和调整；进一步完善并严格执行专业建设、教学管理、质量监控、调整优化等各项工作制度和规范，保障专业群持续发展；优化专业群PDCA闭环动态优化机制，保障专业群与产业发展同步；完善质量体系程序文件，完善教学督导工作体系，构建全过程、全方位的内部质量监控、保证机制，完善教学质量和学业警示机制；与第三方机构合作，实施有效的第三方评价；实施专业群建设年度绩效目标考核。 </w:t>
            </w:r>
          </w:p>
        </w:tc>
        <w:tc>
          <w:tcPr>
            <w:tcW w:w="383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 1.“四合一、三层级、双螺旋、e平台”开放融合人才培养模式初步形成 。  完成“会展服务与管理专业时尚展会策划与服务方向”新专业申报，航空服务预备技师层级申报；特色班级建设活动及学生发展评价改革进入实施阶段。  </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2.完成专业群课程体系修订，平台共享课、专业进阶课和企业项目课的专业群课程体系方案初步形成。完成部分专业进阶课程资源的数字化建设；完成智慧课堂建设并在各专业教学中推广应用，开展教师信息化资源应用交流活动3次。 </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3.实施课堂革命，持续开展教学诊断并改进，“三位一体”学生学业评价制度初步形成。 </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4.专业群“4341”教师队伍能力提升计划按时执行，教师的教学、实践和教科研能力不断提升。 目前，高级职称教师占比47.73%，双师型教师占比84.09%，专业教师赴企业实践人均41.2天。</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 5.共建共享型”时尚消费服务综合实训基地初步建成。 </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基本完成基于世赛中国美发实训基地的形象设计实训基地及服务展示实训基地、品牌运营实训基地建设；开展了企业职工培训、成果转化、职业技能等级考试。 </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6.深化产教融合，建成校级以上技能大师工作室3个，技术技能平台6个，实现校企双主体育人107人。 </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7.服务落实国家京津冀协同发展战略战略。开展了企业员工互联网营销、摄影摄像、电商直播等技能培训；组织学生参与时北京时装周、全国两会服务等实践项目。助力国家乡村振兴战略，开展了乡村电商直播、品牌运营培训和岗位实践活动；开展雄安新区企业相关人员电商品牌运营技能培训、京蒙精准帮扶师资培训。 </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8.开展国际友好学校交流活动，建立时尚消费服务交流中心。 积极与国外专业院校合作，建立友好学校互动机制；积极促进中外院校时尚消费服务类专业进行文化交流，建立时尚消费服务交流中心；开展国际交流活动，结合专业群建设需要，初步开展时尚消费服务交流中心建设。</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9.动态保障机制进一步完善。 </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 xml:space="preserve">充分发挥党组织在专业群建设中的政治核心作用，全面贯彻党的教育方针；完善专业群各层建设，完善制定组织机构各层级工作章程；在学校专业群领导小组的领导下，实施专业群总体规划、专业设置和调整；进一步完善并严格执行专业建设、教学管理、质量监控、调整优化等各项工作制度和规范，保障专业群持续发展；优化专业群PDCA闭环动态优化机制，保障专业群与产业发展同步；完善质量体系程序文件，完善教学督导工作体系，构建全过程、全方位的内部质量监控、保证机制，完善教学质量和学业警示机制；与第三方机构合作，实施有效的第三方评价；实施专业群建设年度绩效目标考核。 </w:t>
            </w:r>
            <w:bookmarkStart w:id="0" w:name="_GoBack"/>
            <w:bookmarkEnd w:id="0"/>
          </w:p>
        </w:tc>
      </w:tr>
      <w:tr>
        <w:tblPrEx>
          <w:tblLayout w:type="fixed"/>
          <w:tblCellMar>
            <w:top w:w="0" w:type="dxa"/>
            <w:left w:w="108" w:type="dxa"/>
            <w:bottom w:w="0" w:type="dxa"/>
            <w:right w:w="108" w:type="dxa"/>
          </w:tblCellMar>
        </w:tblPrEx>
        <w:trPr>
          <w:trHeight w:val="0" w:hRule="atLeast"/>
          <w:jc w:val="center"/>
        </w:trPr>
        <w:tc>
          <w:tcPr>
            <w:tcW w:w="44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绩</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效</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指</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标</w:t>
            </w:r>
          </w:p>
        </w:tc>
        <w:tc>
          <w:tcPr>
            <w:tcW w:w="4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一级指标</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二级指标</w:t>
            </w:r>
          </w:p>
        </w:tc>
        <w:tc>
          <w:tcPr>
            <w:tcW w:w="156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三级指标</w:t>
            </w:r>
          </w:p>
        </w:tc>
        <w:tc>
          <w:tcPr>
            <w:tcW w:w="14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指标值</w:t>
            </w:r>
          </w:p>
        </w:tc>
        <w:tc>
          <w:tcPr>
            <w:tcW w:w="14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实际</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完成值</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分值</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得分</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偏差原因分析及改进</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措施</w:t>
            </w: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产出指标</w:t>
            </w:r>
          </w:p>
        </w:tc>
        <w:tc>
          <w:tcPr>
            <w:tcW w:w="7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数量指标</w:t>
            </w: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指标1：校内实训基地建设方案</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＝1套</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b/>
                <w:i w:val="0"/>
                <w:color w:val="000000"/>
                <w:kern w:val="0"/>
                <w:sz w:val="18"/>
                <w:szCs w:val="18"/>
                <w:u w:val="none"/>
                <w:lang w:val="en-US" w:eastAsia="zh-CN" w:bidi="ar"/>
              </w:rPr>
              <w:t>1</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指标2：人才培养方案</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≥5个</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5</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指标3：新增合作企业</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≥5个</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6</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指标4：课程标准</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≥12个</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14</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指标5：新增设备数量</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≥70台套</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70</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指标6：面向社会开展的培训（人天）</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≥1200人/天</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5526</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指标7：课程思政成果</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≥2套</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2</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指标8：专业调研报告</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≥4个</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5</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指标9：教材开发</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≥2本</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3</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指标10：工作室建设项目方案</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≥4套</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4</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指标11：群课程体系方案</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＝1个</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指标12：数字化教学资源</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≥0.6TB</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0.75</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质量指标</w:t>
            </w: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指标1：设备采购项目验收通过率</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指标2：技术服务项目验收通过率</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指标3：技术培训合格率</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≥90%</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100%</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时效指标</w:t>
            </w: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指标1：各项任务完成时间</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≤12月</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12月</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2</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u w:val="none"/>
                <w:lang w:val="en-US" w:eastAsia="zh-CN" w:bidi="ar"/>
              </w:rPr>
              <w:t>指标2：项目验收时间</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≤12月</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12月</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3</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成本指标</w:t>
            </w:r>
          </w:p>
        </w:tc>
        <w:tc>
          <w:tcPr>
            <w:tcW w:w="1562"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w:t>
            </w:r>
          </w:p>
        </w:tc>
        <w:tc>
          <w:tcPr>
            <w:tcW w:w="14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4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w:t>
            </w:r>
          </w:p>
        </w:tc>
        <w:tc>
          <w:tcPr>
            <w:tcW w:w="14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4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14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4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效益指标</w:t>
            </w:r>
          </w:p>
        </w:tc>
        <w:tc>
          <w:tcPr>
            <w:tcW w:w="7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经济效益</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1562"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指标1：提升师资队伍教学水平</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优</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优</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10</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社会效益</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1562"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指标1：国院化人才培养模式创新</w:t>
            </w:r>
          </w:p>
        </w:tc>
        <w:tc>
          <w:tcPr>
            <w:tcW w:w="14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优</w:t>
            </w:r>
          </w:p>
        </w:tc>
        <w:tc>
          <w:tcPr>
            <w:tcW w:w="14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优</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10</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生态效益</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1562"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指标1：环境污染程度</w:t>
            </w:r>
          </w:p>
        </w:tc>
        <w:tc>
          <w:tcPr>
            <w:tcW w:w="14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优</w:t>
            </w:r>
          </w:p>
        </w:tc>
        <w:tc>
          <w:tcPr>
            <w:tcW w:w="14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优</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可持续影响指标</w:t>
            </w:r>
          </w:p>
        </w:tc>
        <w:tc>
          <w:tcPr>
            <w:tcW w:w="1562"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指标1：可持续使用时间</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≥6年</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6</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满意度</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7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服务对象满意度标</w:t>
            </w:r>
          </w:p>
        </w:tc>
        <w:tc>
          <w:tcPr>
            <w:tcW w:w="1562"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指标1：在校生满意度</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≥90%</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99</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4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562"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指标2：教师满意度</w:t>
            </w:r>
          </w:p>
        </w:tc>
        <w:tc>
          <w:tcPr>
            <w:tcW w:w="14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≥90%</w:t>
            </w:r>
          </w:p>
        </w:tc>
        <w:tc>
          <w:tcPr>
            <w:tcW w:w="1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u w:val="none"/>
                <w:lang w:val="en-US" w:eastAsia="zh-CN" w:bidi="ar"/>
              </w:rPr>
              <w:t>99</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0" w:hRule="atLeast"/>
          <w:jc w:val="center"/>
        </w:trPr>
        <w:tc>
          <w:tcPr>
            <w:tcW w:w="6177"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总分</w:t>
            </w:r>
          </w:p>
        </w:tc>
        <w:tc>
          <w:tcPr>
            <w:tcW w:w="6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highlight w:val="none"/>
                <w:lang w:val="en-US" w:eastAsia="zh-CN"/>
              </w:rPr>
            </w:pPr>
            <w:r>
              <w:rPr>
                <w:rFonts w:hint="eastAsia" w:ascii="仿宋_GB2312" w:hAnsi="宋体" w:eastAsia="仿宋_GB2312" w:cs="宋体"/>
                <w:color w:val="000000"/>
                <w:kern w:val="0"/>
                <w:sz w:val="21"/>
                <w:szCs w:val="21"/>
                <w:highlight w:val="none"/>
                <w:lang w:val="en-US" w:eastAsia="zh-CN"/>
              </w:rPr>
              <w:t>100</w:t>
            </w:r>
          </w:p>
        </w:tc>
        <w:tc>
          <w:tcPr>
            <w:tcW w:w="9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highlight w:val="none"/>
                <w:lang w:val="en-US" w:eastAsia="zh-CN"/>
              </w:rPr>
            </w:pPr>
            <w:r>
              <w:rPr>
                <w:rFonts w:hint="eastAsia" w:ascii="仿宋_GB2312" w:hAnsi="宋体" w:eastAsia="仿宋_GB2312" w:cs="宋体"/>
                <w:color w:val="000000"/>
                <w:kern w:val="0"/>
                <w:sz w:val="21"/>
                <w:szCs w:val="21"/>
                <w:highlight w:val="none"/>
                <w:lang w:val="en-US" w:eastAsia="zh-CN"/>
              </w:rPr>
              <w:t>100</w:t>
            </w:r>
          </w:p>
        </w:tc>
        <w:tc>
          <w:tcPr>
            <w:tcW w:w="7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11B74362"/>
    <w:rsid w:val="37173543"/>
    <w:rsid w:val="37B460BB"/>
    <w:rsid w:val="3FF76880"/>
    <w:rsid w:val="49EB446C"/>
    <w:rsid w:val="585B1C0F"/>
    <w:rsid w:val="585C4059"/>
    <w:rsid w:val="6E6D67C3"/>
    <w:rsid w:val="71E947C9"/>
    <w:rsid w:val="72434811"/>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WANG.Y</cp:lastModifiedBy>
  <cp:lastPrinted>2022-03-24T10:01:00Z</cp:lastPrinted>
  <dcterms:modified xsi:type="dcterms:W3CDTF">2024-04-23T02:41:13Z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