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keepNext/>
        <w:keepLines w:val="0"/>
        <w:pageBreakBefore w:val="0"/>
        <w:widowControl w:val="0"/>
        <w:kinsoku/>
        <w:wordWrap/>
        <w:overflowPunct/>
        <w:topLinePunct w:val="0"/>
        <w:autoSpaceDE/>
        <w:autoSpaceDN/>
        <w:bidi w:val="0"/>
        <w:adjustRightInd/>
        <w:snapToGrid/>
        <w:spacing w:line="480" w:lineRule="exact"/>
        <w:textAlignment w:val="auto"/>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6"/>
        <w:tblW w:w="8522" w:type="dxa"/>
        <w:jc w:val="center"/>
        <w:tblInd w:w="0" w:type="dxa"/>
        <w:tblLayout w:type="fixed"/>
        <w:tblCellMar>
          <w:top w:w="0" w:type="dxa"/>
          <w:left w:w="108" w:type="dxa"/>
          <w:bottom w:w="0" w:type="dxa"/>
          <w:right w:w="108" w:type="dxa"/>
        </w:tblCellMar>
      </w:tblPr>
      <w:tblGrid>
        <w:gridCol w:w="442"/>
        <w:gridCol w:w="486"/>
        <w:gridCol w:w="761"/>
        <w:gridCol w:w="1562"/>
        <w:gridCol w:w="1437"/>
        <w:gridCol w:w="1489"/>
        <w:gridCol w:w="644"/>
        <w:gridCol w:w="954"/>
        <w:gridCol w:w="747"/>
      </w:tblGrid>
      <w:tr>
        <w:tblPrEx>
          <w:tblLayout w:type="fixed"/>
          <w:tblCellMar>
            <w:top w:w="0" w:type="dxa"/>
            <w:left w:w="108" w:type="dxa"/>
            <w:bottom w:w="0" w:type="dxa"/>
            <w:right w:w="108" w:type="dxa"/>
          </w:tblCellMar>
        </w:tblPrEx>
        <w:trPr>
          <w:trHeight w:val="0" w:hRule="atLeast"/>
          <w:jc w:val="center"/>
        </w:trPr>
        <w:tc>
          <w:tcPr>
            <w:tcW w:w="9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项目名称</w:t>
            </w:r>
          </w:p>
        </w:tc>
        <w:tc>
          <w:tcPr>
            <w:tcW w:w="759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时尚消费服务专业群</w:t>
            </w:r>
          </w:p>
        </w:tc>
      </w:tr>
      <w:tr>
        <w:tblPrEx>
          <w:tblLayout w:type="fixed"/>
          <w:tblCellMar>
            <w:top w:w="0" w:type="dxa"/>
            <w:left w:w="108" w:type="dxa"/>
            <w:bottom w:w="0" w:type="dxa"/>
            <w:right w:w="108" w:type="dxa"/>
          </w:tblCellMar>
        </w:tblPrEx>
        <w:trPr>
          <w:trHeight w:val="0" w:hRule="atLeast"/>
          <w:jc w:val="center"/>
        </w:trPr>
        <w:tc>
          <w:tcPr>
            <w:tcW w:w="9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主管部门</w:t>
            </w:r>
          </w:p>
        </w:tc>
        <w:tc>
          <w:tcPr>
            <w:tcW w:w="37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北京时尚控股有限责任公司</w:t>
            </w:r>
          </w:p>
        </w:tc>
        <w:tc>
          <w:tcPr>
            <w:tcW w:w="14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实施单位</w:t>
            </w:r>
          </w:p>
        </w:tc>
        <w:tc>
          <w:tcPr>
            <w:tcW w:w="23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北京市新媒体技师学院</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（北京时尚控股有限责任公司党校）</w:t>
            </w:r>
          </w:p>
        </w:tc>
      </w:tr>
      <w:tr>
        <w:tblPrEx>
          <w:tblLayout w:type="fixed"/>
          <w:tblCellMar>
            <w:top w:w="0" w:type="dxa"/>
            <w:left w:w="108" w:type="dxa"/>
            <w:bottom w:w="0" w:type="dxa"/>
            <w:right w:w="108" w:type="dxa"/>
          </w:tblCellMar>
        </w:tblPrEx>
        <w:trPr>
          <w:trHeight w:val="0" w:hRule="atLeast"/>
          <w:jc w:val="center"/>
        </w:trPr>
        <w:tc>
          <w:tcPr>
            <w:tcW w:w="9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项目负责人</w:t>
            </w:r>
          </w:p>
        </w:tc>
        <w:tc>
          <w:tcPr>
            <w:tcW w:w="37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那淼</w:t>
            </w:r>
          </w:p>
        </w:tc>
        <w:tc>
          <w:tcPr>
            <w:tcW w:w="14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联系电话</w:t>
            </w:r>
          </w:p>
        </w:tc>
        <w:tc>
          <w:tcPr>
            <w:tcW w:w="23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13501185078</w:t>
            </w:r>
          </w:p>
        </w:tc>
      </w:tr>
      <w:tr>
        <w:tblPrEx>
          <w:tblLayout w:type="fixed"/>
          <w:tblCellMar>
            <w:top w:w="0" w:type="dxa"/>
            <w:left w:w="108" w:type="dxa"/>
            <w:bottom w:w="0" w:type="dxa"/>
            <w:right w:w="108" w:type="dxa"/>
          </w:tblCellMar>
        </w:tblPrEx>
        <w:trPr>
          <w:trHeight w:val="0" w:hRule="atLeast"/>
          <w:jc w:val="center"/>
        </w:trPr>
        <w:tc>
          <w:tcPr>
            <w:tcW w:w="92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项目资金</w:t>
            </w:r>
            <w:r>
              <w:rPr>
                <w:rFonts w:hint="eastAsia" w:ascii="仿宋_GB2312" w:hAnsi="宋体" w:eastAsia="仿宋_GB2312" w:cs="宋体"/>
                <w:kern w:val="0"/>
                <w:sz w:val="21"/>
                <w:szCs w:val="21"/>
                <w:highlight w:val="none"/>
              </w:rPr>
              <w:br w:type="textWrapping"/>
            </w:r>
            <w:r>
              <w:rPr>
                <w:rFonts w:hint="eastAsia" w:ascii="仿宋_GB2312" w:hAnsi="宋体" w:eastAsia="仿宋_GB2312" w:cs="宋体"/>
                <w:kern w:val="0"/>
                <w:sz w:val="21"/>
                <w:szCs w:val="21"/>
                <w:highlight w:val="none"/>
              </w:rPr>
              <w:t>（万元）</w:t>
            </w:r>
          </w:p>
        </w:tc>
        <w:tc>
          <w:tcPr>
            <w:tcW w:w="7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 w:val="21"/>
                <w:szCs w:val="21"/>
                <w:highlight w:val="none"/>
              </w:rPr>
              <w:t>年初预</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算数</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 w:val="21"/>
                <w:szCs w:val="21"/>
                <w:highlight w:val="none"/>
              </w:rPr>
              <w:t>全年预</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算数</w:t>
            </w:r>
          </w:p>
        </w:tc>
        <w:tc>
          <w:tcPr>
            <w:tcW w:w="14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 w:val="21"/>
                <w:szCs w:val="21"/>
                <w:highlight w:val="none"/>
              </w:rPr>
              <w:t>全年</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执行数</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分值</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执行率</w:t>
            </w:r>
          </w:p>
        </w:tc>
        <w:tc>
          <w:tcPr>
            <w:tcW w:w="7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得分</w:t>
            </w:r>
          </w:p>
        </w:tc>
      </w:tr>
      <w:tr>
        <w:tblPrEx>
          <w:tblLayout w:type="fixed"/>
          <w:tblCellMar>
            <w:top w:w="0" w:type="dxa"/>
            <w:left w:w="108" w:type="dxa"/>
            <w:bottom w:w="0" w:type="dxa"/>
            <w:right w:w="108" w:type="dxa"/>
          </w:tblCellMar>
        </w:tblPrEx>
        <w:trPr>
          <w:trHeight w:val="0" w:hRule="atLeast"/>
          <w:jc w:val="center"/>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年度资金总额</w:t>
            </w:r>
          </w:p>
        </w:tc>
        <w:tc>
          <w:tcPr>
            <w:tcW w:w="156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1566.895372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1023.487580</w:t>
            </w:r>
          </w:p>
        </w:tc>
        <w:tc>
          <w:tcPr>
            <w:tcW w:w="148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1022.317730</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10</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99.89%</w:t>
            </w:r>
          </w:p>
        </w:tc>
        <w:tc>
          <w:tcPr>
            <w:tcW w:w="7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10.0</w:t>
            </w:r>
          </w:p>
        </w:tc>
      </w:tr>
      <w:tr>
        <w:tblPrEx>
          <w:tblLayout w:type="fixed"/>
          <w:tblCellMar>
            <w:top w:w="0" w:type="dxa"/>
            <w:left w:w="108" w:type="dxa"/>
            <w:bottom w:w="0" w:type="dxa"/>
            <w:right w:w="108" w:type="dxa"/>
          </w:tblCellMar>
        </w:tblPrEx>
        <w:trPr>
          <w:trHeight w:val="0" w:hRule="atLeast"/>
          <w:jc w:val="center"/>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 w:val="21"/>
                <w:szCs w:val="21"/>
                <w:highlight w:val="none"/>
              </w:rPr>
              <w:t>其中：当年财政</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拨款</w:t>
            </w:r>
          </w:p>
        </w:tc>
        <w:tc>
          <w:tcPr>
            <w:tcW w:w="156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1066.895372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523.487580</w:t>
            </w:r>
          </w:p>
        </w:tc>
        <w:tc>
          <w:tcPr>
            <w:tcW w:w="148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523.177730</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99.94%</w:t>
            </w:r>
          </w:p>
        </w:tc>
        <w:tc>
          <w:tcPr>
            <w:tcW w:w="7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r>
      <w:tr>
        <w:tblPrEx>
          <w:tblLayout w:type="fixed"/>
          <w:tblCellMar>
            <w:top w:w="0" w:type="dxa"/>
            <w:left w:w="108" w:type="dxa"/>
            <w:bottom w:w="0" w:type="dxa"/>
            <w:right w:w="108" w:type="dxa"/>
          </w:tblCellMar>
        </w:tblPrEx>
        <w:trPr>
          <w:trHeight w:val="0" w:hRule="atLeast"/>
          <w:jc w:val="center"/>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 xml:space="preserve">      上年结转资金</w:t>
            </w:r>
          </w:p>
        </w:tc>
        <w:tc>
          <w:tcPr>
            <w:tcW w:w="156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500.00</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500.00</w:t>
            </w:r>
          </w:p>
        </w:tc>
        <w:tc>
          <w:tcPr>
            <w:tcW w:w="148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499.14</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99.83%</w:t>
            </w:r>
          </w:p>
        </w:tc>
        <w:tc>
          <w:tcPr>
            <w:tcW w:w="7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r>
      <w:tr>
        <w:tblPrEx>
          <w:tblLayout w:type="fixed"/>
          <w:tblCellMar>
            <w:top w:w="0" w:type="dxa"/>
            <w:left w:w="108" w:type="dxa"/>
            <w:bottom w:w="0" w:type="dxa"/>
            <w:right w:w="108" w:type="dxa"/>
          </w:tblCellMar>
        </w:tblPrEx>
        <w:trPr>
          <w:trHeight w:val="0" w:hRule="atLeast"/>
          <w:jc w:val="center"/>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 xml:space="preserve">  其他资金</w:t>
            </w:r>
          </w:p>
        </w:tc>
        <w:tc>
          <w:tcPr>
            <w:tcW w:w="15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14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7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r>
      <w:tr>
        <w:tblPrEx>
          <w:tblLayout w:type="fixed"/>
          <w:tblCellMar>
            <w:top w:w="0" w:type="dxa"/>
            <w:left w:w="108" w:type="dxa"/>
            <w:bottom w:w="0" w:type="dxa"/>
            <w:right w:w="108" w:type="dxa"/>
          </w:tblCellMar>
        </w:tblPrEx>
        <w:trPr>
          <w:trHeight w:val="0"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年度总体目标</w:t>
            </w:r>
          </w:p>
        </w:tc>
        <w:tc>
          <w:tcPr>
            <w:tcW w:w="42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预期目标</w:t>
            </w:r>
          </w:p>
        </w:tc>
        <w:tc>
          <w:tcPr>
            <w:tcW w:w="383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实际完成情况</w:t>
            </w: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2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"项目建设总体目标（2022年-2024年）： 服务北京“四个中心”功能定位，面向首都时尚产业特别是时尚消费服务领域，瞄准时尚消费服务高技能人才需求，以电子商务专业（品牌运营方向）为核心，科学组建时尚消费服务专业群，依托世界技能大赛中国集训基地、国家高技能人才培训基地、北京时尚产业学院等平台，以提高人才培养质量为主线，以强有力机制建设为保障，经过三年建设，专业群在专业实力、师资队伍、信息化资源建设、技术技能平台、社会服务等方面显著提升，服务首都时尚产业发展的能力显著提升，形成可借鉴、可推广的专业群建设经验，实现建设面向首都时尚消费服务业有特色、高水平专业群建设目标，打造首都领先、特色鲜明、与国际接轨、具有示范引领作用的有特色、高水平专业群。项目建设经费总额1497.2万元，财政投入1497.2万元（其中2022年654.6万元，2023年556.8万元，2024年285.8万元）。2023年年度目标： 1.优化“四合一、三层级、双螺旋、e平台”开放融合人才培养模式 。   </w:t>
            </w:r>
          </w:p>
          <w:p>
            <w:pPr>
              <w:widowControl/>
              <w:spacing w:line="240" w:lineRule="exact"/>
              <w:jc w:val="both"/>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进一步修订，丰富专业群德育育人体系实施方案内容 ；完善专业群课程体系构建， “四合一、三层级、双螺旋、e平台”的学制人才培养模式进一步优化；完成“会展服务与管理专业时尚展会策划与服务方向”新专业申报；开展特色班级建设活动及学生发展评价改革，建立学生成长档案，为学生提供成长发展记录。  2.修订专业群课程体系，开发企业项目课程，建设智慧课堂。 </w:t>
            </w:r>
          </w:p>
          <w:p>
            <w:pPr>
              <w:widowControl/>
              <w:spacing w:line="240" w:lineRule="exact"/>
              <w:jc w:val="both"/>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完善平台共享课、专业进阶课和企业项目课的专业群课程体系方案，推进专业群课程体系重构；对应课程体系，修订已有课程资源，根据一体化课程开发规程，开发专业进阶课程、企业项目课程，完成部分专业进阶课程资源的数字化建设；完成智慧课堂建设并在各专业教学中推广应用，开展教师信息化资源应用交流活动。 3.实施课堂革命，开展教学诊断并改进，完善“三位一体”学生学业评价制度。 根据“三有”课堂实施方案，实施课堂革命，开展课堂教学诊断并持续改进；基于课堂教学模式改革，完善课堂教学评价标准，修订课堂教学评价制度；完善学生学业评价标准，落实“三位一体”学生学业评价制度。 4.实施专业群“4341”教师队伍能力提升计划，提升教师的教学、实践和教科研能力。 </w:t>
            </w:r>
          </w:p>
          <w:p>
            <w:pPr>
              <w:widowControl/>
              <w:spacing w:line="240" w:lineRule="exact"/>
              <w:jc w:val="both"/>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实施专业群“4341”教师队伍能力提升计划，形成“专业带头人”、“课程负责人”选聘办法、教师下企业实践考核制度并开展实施；吸纳品牌运营大师，选拔骨干教师，通过教师参加教学竞赛、课堂教学能力培训，提升教师教学能力；通过申报市级课题，完成校内教科研课题，提升教师的教科研能力；通过鼓励教师下企业实践，体验职业岗位工作任务与企业一线工作人员和管理人员进行广泛交流，提升教师的岗位实践能力。 5.建设“共建共享型”时尚消费服务综合实训基地。 </w:t>
            </w:r>
          </w:p>
          <w:p>
            <w:pPr>
              <w:widowControl/>
              <w:spacing w:line="240" w:lineRule="exact"/>
              <w:jc w:val="both"/>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总结实训基地共建共享经验，完善共建时尚消费服务综合实训基地建设方案并开展建设，基本完成基于世赛中国美发实训基地的形象设计实训基地及服务展示实训基地、品牌运营实训基地建设；开展企业职工培训、成果转化、职业技能等级考试。 6.深化产教融合，筹划建设区级、市级技能大师工作室，助力时尚消费服务业发展。 </w:t>
            </w:r>
          </w:p>
          <w:p>
            <w:pPr>
              <w:widowControl/>
              <w:spacing w:line="240" w:lineRule="exact"/>
              <w:jc w:val="both"/>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依托时尚教育平台与北京时尚控股公司开展技术技能交流活动，完善世赛技能大赛竞赛训练平台建设；建设产教融合特色文化环境，围绕企业需求，针对企业需求完成企业新型学徒培养及职工培训工作；深化“贾婧文大兴区首席技师工作室”建设，开展技术交流服务；新建校内技能大师工作室，筹划区级、市级技能大师工作室申办，助力北京国际消费中心城市建设。 7.服务落实国家京津冀协同发展战略战略，聚焦区域经济发展需要，提升社会服务能力。服务国家京津冀协同发展战略，开展高技能人才协同培养，开展企业员工互联网营销、摄影摄像、电商直播等技能培训；完成时尚展会服务策划、形象设计服务。助力国家乡村振兴战略，开展乡村电商直播、品牌运营培训和岗位实践活动；开展雄安新区企业相关人员电商品牌运营技能培训、京蒙精准帮扶师资培训。 8.开展国际友好学校交流活动，建立时尚消费服务交流中心。 积极与国外专业院校合作，通过友好学校互动机制，实现校内与国外院校师生游学互访；积极促进中外院校时尚消费服务类专业进行文化交流，建立时尚消费服务交流中心；开展国际交流活动，结合专业群建设需要，初步开展时尚消费服务交流中心建设；根据国际化特色课堂教学模式试行情况合理调整，助力课堂教学提质增效。 9.进一步完善动态保障机制，促进专业群可持续发展。 </w:t>
            </w:r>
          </w:p>
          <w:p>
            <w:pPr>
              <w:widowControl/>
              <w:spacing w:line="240" w:lineRule="exact"/>
              <w:jc w:val="both"/>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充分发挥党组织在专业群建设中的政治核心作用，全面贯彻党的教育方针；完善专业群各层建设，完善制定组织机构各层级工作章程；在学校专业群领导小组的领导下，实施专业群总体规划、专业设置和调整；进一步完善并严格执行专业建设、教学管理、质量监控、调整优化等各项工作制度和规范，保障专业群持续发展；优化专业群PDCA闭环动态优化机制，保障专业群与产业发展同步；完善质量体系程序文件，完善教学督导工作体系，构建全过程、全方位的内部质量监控、保证机制，完善教学质量和学业警示机制；与第三方机构合作，实施有效的第三方评价；实施专业群建设年度绩效目标考核。 </w:t>
            </w:r>
          </w:p>
        </w:tc>
        <w:tc>
          <w:tcPr>
            <w:tcW w:w="383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 1.“四合一、三层级、双螺旋、e平台”开放融合人才培养模式初步形成 。  完成“会展服务与管理专业时尚展会策划与服务方向”新专业申报，航空服务预备技师层级申报；特色班级建设活动及学生发展评价改革进入实施阶段。  </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2.完成专业群课程体系修订，平台共享课、专业进阶课和企业项目课的专业群课程体系方案初步形成。完成部分专业进阶课程资源的数字化建设；完成智慧课堂建设并在各专业教学中推广应用，开展教师信息化资源应用交流活动3次。 </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3.实施课堂革命，持续开展教学诊断并改进，“三位一体”学生学业评价制度初步形成。 </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4.专业群“4341”教师队伍能力提升计划按时执行，教师的教学、实践和教科研能力不断提升。 目前，高级职称教师占比47.73%，双师型教师占比84.09%，专业教师赴企业实践人均41.2天。</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 5.共建共享型”时尚消费服务综合实训基地初步建成。 </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基本完成基于世赛中国美发实训基地的形象设计实训基地及服务展示实训基地、品牌运营实训基地建设；开展了企业职工培训、成果转化、职业技能等级考试。 </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6.深化产教融合，建成校级以上技能大师工作室3个，技术技能平台6个，实现校企双主体育人107人。 </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7.服务落实国家京津冀协同发展战略战略。开展了企业员工互联网营销、摄影摄像、电商直播等技能培训；组织学生参与时北京时装周、全国两会服务等实践项目。助力国家乡村振兴战略，开展了乡村电商直播、品牌运营培训和岗位实践活动；开展雄安新区企业相关人员电商品牌运营技能培训、京蒙精准帮扶师资培训。 </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8.开展国际友好学校交流活动，建立时尚消费服务交流中心。 积极与国外专业院校合作，建立友好学校互动机制；积极促进中外院校时尚消费服务类专业进行文化交流，建立时尚消费服务交流中心；开展国际交流活动，结合专业群建设需要，初步开展时尚消费服务交流中心建设。</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9.动态保障机制进一步完善。 </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 xml:space="preserve">充分发挥党组织在专业群建设中的政治核心作用，全面贯彻党的教育方针；完善专业群各层建设，完善制定组织机构各层级工作章程；在学校专业群领导小组的领导下，实施专业群总体规划、专业设置和调整；进一步完善并严格执行专业建设、教学管理、质量监控、调整优化等各项工作制度和规范，保障专业群持续发展；优化专业群PDCA闭环动态优化机制，保障专业群与产业发展同步；完善质量体系程序文件，完善教学督导工作体系，构建全过程、全方位的内部质量监控、保证机制，完善教学质量和学业警示机制；与第三方机构合作，实施有效的第三方评价；实施专业群建设年度绩效目标考核。 </w:t>
            </w:r>
            <w:bookmarkStart w:id="0" w:name="_GoBack"/>
            <w:bookmarkEnd w:id="0"/>
          </w:p>
        </w:tc>
      </w:tr>
      <w:tr>
        <w:tblPrEx>
          <w:tblLayout w:type="fixed"/>
          <w:tblCellMar>
            <w:top w:w="0" w:type="dxa"/>
            <w:left w:w="108" w:type="dxa"/>
            <w:bottom w:w="0" w:type="dxa"/>
            <w:right w:w="108" w:type="dxa"/>
          </w:tblCellMar>
        </w:tblPrEx>
        <w:trPr>
          <w:trHeight w:val="0" w:hRule="atLeast"/>
          <w:jc w:val="center"/>
        </w:trPr>
        <w:tc>
          <w:tcPr>
            <w:tcW w:w="4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绩</w:t>
            </w:r>
            <w:r>
              <w:rPr>
                <w:rFonts w:hint="eastAsia" w:ascii="仿宋_GB2312" w:hAnsi="宋体" w:eastAsia="仿宋_GB2312" w:cs="宋体"/>
                <w:kern w:val="0"/>
                <w:sz w:val="21"/>
                <w:szCs w:val="21"/>
                <w:highlight w:val="none"/>
              </w:rPr>
              <w:br w:type="textWrapping"/>
            </w:r>
            <w:r>
              <w:rPr>
                <w:rFonts w:hint="eastAsia" w:ascii="仿宋_GB2312" w:hAnsi="宋体" w:eastAsia="仿宋_GB2312" w:cs="宋体"/>
                <w:kern w:val="0"/>
                <w:sz w:val="21"/>
                <w:szCs w:val="21"/>
                <w:highlight w:val="none"/>
              </w:rPr>
              <w:t>效</w:t>
            </w:r>
            <w:r>
              <w:rPr>
                <w:rFonts w:hint="eastAsia" w:ascii="仿宋_GB2312" w:hAnsi="宋体" w:eastAsia="仿宋_GB2312" w:cs="宋体"/>
                <w:kern w:val="0"/>
                <w:sz w:val="21"/>
                <w:szCs w:val="21"/>
                <w:highlight w:val="none"/>
              </w:rPr>
              <w:br w:type="textWrapping"/>
            </w:r>
            <w:r>
              <w:rPr>
                <w:rFonts w:hint="eastAsia" w:ascii="仿宋_GB2312" w:hAnsi="宋体" w:eastAsia="仿宋_GB2312" w:cs="宋体"/>
                <w:kern w:val="0"/>
                <w:sz w:val="21"/>
                <w:szCs w:val="21"/>
                <w:highlight w:val="none"/>
              </w:rPr>
              <w:t>指</w:t>
            </w:r>
            <w:r>
              <w:rPr>
                <w:rFonts w:hint="eastAsia" w:ascii="仿宋_GB2312" w:hAnsi="宋体" w:eastAsia="仿宋_GB2312" w:cs="宋体"/>
                <w:kern w:val="0"/>
                <w:sz w:val="21"/>
                <w:szCs w:val="21"/>
                <w:highlight w:val="none"/>
              </w:rPr>
              <w:br w:type="textWrapping"/>
            </w:r>
            <w:r>
              <w:rPr>
                <w:rFonts w:hint="eastAsia" w:ascii="仿宋_GB2312" w:hAnsi="宋体" w:eastAsia="仿宋_GB2312" w:cs="宋体"/>
                <w:kern w:val="0"/>
                <w:sz w:val="21"/>
                <w:szCs w:val="21"/>
                <w:highlight w:val="none"/>
              </w:rPr>
              <w:t>标</w:t>
            </w:r>
          </w:p>
        </w:tc>
        <w:tc>
          <w:tcPr>
            <w:tcW w:w="4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一级指标</w:t>
            </w:r>
          </w:p>
        </w:tc>
        <w:tc>
          <w:tcPr>
            <w:tcW w:w="7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二级指标</w:t>
            </w:r>
          </w:p>
        </w:tc>
        <w:tc>
          <w:tcPr>
            <w:tcW w:w="15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三级指标</w:t>
            </w:r>
          </w:p>
        </w:tc>
        <w:tc>
          <w:tcPr>
            <w:tcW w:w="14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年度</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指标值</w:t>
            </w:r>
          </w:p>
        </w:tc>
        <w:tc>
          <w:tcPr>
            <w:tcW w:w="14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实际</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完成值</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分值</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得分</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 w:val="21"/>
                <w:szCs w:val="21"/>
                <w:highlight w:val="none"/>
              </w:rPr>
              <w:t>偏差原因分析及改进</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措施</w:t>
            </w: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产出指标</w:t>
            </w:r>
          </w:p>
        </w:tc>
        <w:tc>
          <w:tcPr>
            <w:tcW w:w="7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数量指标</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指标1：校内实训基地建设方案</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＝1套</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b/>
                <w:i w:val="0"/>
                <w:color w:val="000000"/>
                <w:kern w:val="0"/>
                <w:sz w:val="18"/>
                <w:szCs w:val="18"/>
                <w:u w:val="none"/>
                <w:lang w:val="en-US" w:eastAsia="zh-CN" w:bidi="ar"/>
              </w:rPr>
              <w:t>1</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指标2：人才培养方案</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≥5个</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5</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5</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指标3：新增合作企业</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≥5个</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6</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指标4：课程标准</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≥12个</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14</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指标5：新增设备数量</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≥70台套</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70</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5</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指标6：面向社会开展的培训（人天）</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≥1200人/天</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5526</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指标7：课程思政成果</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≥2套</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2</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指标8：专业调研报告</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≥4个</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5</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指标9：教材开发</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≥2本</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3</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指标10：工作室建设项目方案</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≥4套</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4</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指标11：群课程体系方案</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＝1个</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指标12：数字化教学资源</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≥0.6TB</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0.75</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质量指标</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指标1：设备采购项目验收通过率</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＝100%</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100%</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5</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指标2：技术服务项目验收通过率</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＝100%</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100%</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指标3：技术培训合格率</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≥90%</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100%</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时效指标</w:t>
            </w: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指标1：各项任务完成时间</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≤12月</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12月</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指标2：项目验收时间</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≤12月</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12月</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成本指标</w:t>
            </w:r>
          </w:p>
        </w:tc>
        <w:tc>
          <w:tcPr>
            <w:tcW w:w="156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w:t>
            </w:r>
          </w:p>
        </w:tc>
        <w:tc>
          <w:tcPr>
            <w:tcW w:w="14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4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指标2：</w:t>
            </w:r>
          </w:p>
        </w:tc>
        <w:tc>
          <w:tcPr>
            <w:tcW w:w="14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4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w:t>
            </w:r>
          </w:p>
        </w:tc>
        <w:tc>
          <w:tcPr>
            <w:tcW w:w="14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4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效益指标</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经济效益</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指标</w:t>
            </w:r>
          </w:p>
        </w:tc>
        <w:tc>
          <w:tcPr>
            <w:tcW w:w="156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指标1：提升师资队伍教学水平</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优</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优</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10</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社会效益</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指标</w:t>
            </w:r>
          </w:p>
        </w:tc>
        <w:tc>
          <w:tcPr>
            <w:tcW w:w="156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指标1：国院化人才培养模式创新</w:t>
            </w:r>
          </w:p>
        </w:tc>
        <w:tc>
          <w:tcPr>
            <w:tcW w:w="14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优</w:t>
            </w:r>
          </w:p>
        </w:tc>
        <w:tc>
          <w:tcPr>
            <w:tcW w:w="14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优</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10</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生态效益</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指标</w:t>
            </w:r>
          </w:p>
        </w:tc>
        <w:tc>
          <w:tcPr>
            <w:tcW w:w="156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指标1：环境污染程度</w:t>
            </w:r>
          </w:p>
        </w:tc>
        <w:tc>
          <w:tcPr>
            <w:tcW w:w="14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优</w:t>
            </w:r>
          </w:p>
        </w:tc>
        <w:tc>
          <w:tcPr>
            <w:tcW w:w="14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优</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5</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可持续影响指标</w:t>
            </w:r>
          </w:p>
        </w:tc>
        <w:tc>
          <w:tcPr>
            <w:tcW w:w="156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指标1：可持续使用时间</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≥6年</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6</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5</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满意度</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指标</w:t>
            </w:r>
          </w:p>
        </w:tc>
        <w:tc>
          <w:tcPr>
            <w:tcW w:w="7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服务对象满意度标</w:t>
            </w:r>
          </w:p>
        </w:tc>
        <w:tc>
          <w:tcPr>
            <w:tcW w:w="156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指标1：在校生满意度</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≥90%</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99</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5</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56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指标2：教师满意度</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≥90%</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99</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5</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0" w:hRule="atLeast"/>
          <w:jc w:val="center"/>
        </w:trPr>
        <w:tc>
          <w:tcPr>
            <w:tcW w:w="617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总分</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100</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100</w:t>
            </w:r>
          </w:p>
        </w:tc>
        <w:tc>
          <w:tcPr>
            <w:tcW w:w="7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11B74362"/>
    <w:rsid w:val="37173543"/>
    <w:rsid w:val="37B460BB"/>
    <w:rsid w:val="3FF76880"/>
    <w:rsid w:val="49EB446C"/>
    <w:rsid w:val="585B1C0F"/>
    <w:rsid w:val="585C4059"/>
    <w:rsid w:val="6E6D67C3"/>
    <w:rsid w:val="71E947C9"/>
    <w:rsid w:val="72434811"/>
    <w:rsid w:val="7AB7FF50"/>
    <w:rsid w:val="7BFEB0DB"/>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WANG.Y</cp:lastModifiedBy>
  <cp:lastPrinted>2022-03-24T10:01:00Z</cp:lastPrinted>
  <dcterms:modified xsi:type="dcterms:W3CDTF">2024-04-23T02:41:13Z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