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6"/>
        <w:tblW w:w="9337" w:type="dxa"/>
        <w:jc w:val="center"/>
        <w:tblInd w:w="0" w:type="dxa"/>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1009"/>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项目名称</w:t>
            </w:r>
          </w:p>
        </w:tc>
        <w:tc>
          <w:tcPr>
            <w:tcW w:w="7777"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王志鸥数字光影工作室</w:t>
            </w:r>
          </w:p>
        </w:tc>
      </w:tr>
      <w:tr>
        <w:tblPrEx>
          <w:tblLayout w:type="fixed"/>
          <w:tblCellMar>
            <w:top w:w="0" w:type="dxa"/>
            <w:left w:w="108" w:type="dxa"/>
            <w:bottom w:w="0" w:type="dxa"/>
            <w:right w:w="108" w:type="dxa"/>
          </w:tblCellMar>
        </w:tblPrEx>
        <w:trPr>
          <w:trHeight w:val="824"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北京时尚控股有限责任公司</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实施单位</w:t>
            </w:r>
          </w:p>
        </w:tc>
        <w:tc>
          <w:tcPr>
            <w:tcW w:w="255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北京市新媒体技师学院</w:t>
            </w:r>
          </w:p>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（北京时尚控股有限责任公司党校）</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郝金亭</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联系电话</w:t>
            </w:r>
          </w:p>
        </w:tc>
        <w:tc>
          <w:tcPr>
            <w:tcW w:w="255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18611899096</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项目资金</w:t>
            </w:r>
            <w:r>
              <w:rPr>
                <w:rFonts w:hint="eastAsia" w:ascii="仿宋_GB2312" w:hAnsi="宋体" w:eastAsia="仿宋_GB2312" w:cs="宋体"/>
                <w:kern w:val="0"/>
                <w:sz w:val="21"/>
                <w:szCs w:val="21"/>
                <w:highlight w:val="none"/>
              </w:rPr>
              <w:br w:type="textWrapping"/>
            </w:r>
            <w:r>
              <w:rPr>
                <w:rFonts w:hint="eastAsia" w:ascii="仿宋_GB2312" w:hAnsi="宋体" w:eastAsia="仿宋_GB2312" w:cs="宋体"/>
                <w:kern w:val="0"/>
                <w:sz w:val="21"/>
                <w:szCs w:val="21"/>
                <w:highlight w:val="none"/>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年初预</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全年预</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全年</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执行率</w:t>
            </w:r>
          </w:p>
        </w:tc>
        <w:tc>
          <w:tcPr>
            <w:tcW w:w="10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得分</w:t>
            </w:r>
          </w:p>
        </w:tc>
      </w:tr>
      <w:tr>
        <w:tblPrEx>
          <w:tblLayout w:type="fixed"/>
          <w:tblCellMar>
            <w:top w:w="0" w:type="dxa"/>
            <w:left w:w="108" w:type="dxa"/>
            <w:bottom w:w="0" w:type="dxa"/>
            <w:right w:w="108" w:type="dxa"/>
          </w:tblCellMar>
        </w:tblPrEx>
        <w:trPr>
          <w:trHeight w:val="584"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982.118093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669.4864</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660.9680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98.73%</w:t>
            </w:r>
          </w:p>
        </w:tc>
        <w:tc>
          <w:tcPr>
            <w:tcW w:w="100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9.9</w:t>
            </w:r>
          </w:p>
        </w:tc>
      </w:tr>
      <w:tr>
        <w:tblPrEx>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其中：当年财政</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729.2264</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416.594707</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408.926307</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98.16%</w:t>
            </w:r>
          </w:p>
        </w:tc>
        <w:tc>
          <w:tcPr>
            <w:tcW w:w="10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252.891693</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252.891693</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252.041693</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99.66%</w:t>
            </w:r>
          </w:p>
        </w:tc>
        <w:tc>
          <w:tcPr>
            <w:tcW w:w="10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c>
          <w:tcPr>
            <w:tcW w:w="100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预期目标</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实际完成情况</w:t>
            </w:r>
          </w:p>
        </w:tc>
      </w:tr>
      <w:tr>
        <w:tblPrEx>
          <w:tblLayout w:type="fixed"/>
          <w:tblCellMar>
            <w:top w:w="0" w:type="dxa"/>
            <w:left w:w="108" w:type="dxa"/>
            <w:bottom w:w="0" w:type="dxa"/>
            <w:right w:w="108" w:type="dxa"/>
          </w:tblCellMar>
        </w:tblPrEx>
        <w:trPr>
          <w:trHeight w:val="0" w:hRule="atLeas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高端引领</w:t>
            </w:r>
            <w:bookmarkStart w:id="0" w:name="_GoBack"/>
            <w:bookmarkEnd w:id="0"/>
            <w:r>
              <w:rPr>
                <w:rFonts w:hint="eastAsia" w:ascii="仿宋_GB2312" w:hAnsi="宋体" w:eastAsia="仿宋_GB2312" w:cs="宋体"/>
                <w:kern w:val="0"/>
                <w:sz w:val="21"/>
                <w:szCs w:val="21"/>
                <w:highlight w:val="none"/>
                <w:lang w:eastAsia="zh-CN"/>
              </w:rPr>
              <w:t xml:space="preserve">，融合发展。发挥王志鸥大师的个人影响力和黑弓企业品牌、技术优势，项目优势，整合北京市新媒体技师学院、北京印刷学院、黑弓企业的生态圈资源，融合技术研发、创意设计与职业教育等优势，同时将立德树人、企业文化、工匠精神融入工作室建设和高技能人才培养全过程，培养德技艺创融合发展的数字光影技术高技能人才，建成国内一流、国际知名的数字光影人才培养基地。 点面结合，协同创新。依托新媒体应用技术特高专业群，充分挖掘数字光影技术内涵，借鉴现代学徒制人才培养模式，按照需求选择工作室场所、企业场所、项目实施现场等教学环境开展项目实践教学，真正实现工学交替、真岗环境，实现学习和工作一体化，创新“一平台、双主体、三层级、四融合”人才培养模式。实现点（技术技能工作室）面（专业群）的有机结合，协同创新发展。 共建共享，服务产业。合作建立行企校双导师互兼、互任、互聘机制，组建融合教师团队，共建数字光影技术教学实训中心、技术研发与转化中心和社会服务中心，共同完成人才培育、资源共建共享、技术创新与社会服务等工作，助力数字创意产业，服务首都“四个中心”建设。 分年度建设目标： 2022 年度，组建工作室建设指导委员会、建设办公室和项目管理团队，制定相关制度文件，签订三方培养协议，录取学员；深入开展调研，开发配套岗位标准和培养方案以及初步完成课程标准建设；组建能开展教学、资源建设、技术研发和社会服务的双师团队；建设数字光影技术教学实训中心、技术研发与转化中心和社会服务中心，并基于此在大师引领下，制定各个机构、团队、中心的工作方案，并初步开展各项工作。 2023 年度，完善人才培养方案和课程标准，并以此为基础开展数字光影方向一体化课程建设和数字化资源建设、实训基地建设，建成校内外实训基地，完成技术革新课题，开展技艺创新传承活动；大师引领建立人才培养评价体系和相关证书认证工作，校企合作为企业提供技术咨询与研发服务。进行 1+X 试点课程资源开发工作。 </w:t>
            </w:r>
          </w:p>
        </w:tc>
        <w:tc>
          <w:tcPr>
            <w:tcW w:w="368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通过王志鸥数字光影工作室的建设，联合学院新媒体应用技术、时尚消费服务两个特高专业群，建立了专业群和实训基地的系统建设机制，组建了行企校产教联合体，创新人才培养模式，构建了高标准的课程体系，大师引领校企合作组建了高质量的数字光影教学团队，共同打造学院人才培养高地，在服务首都数字创意产业、时尚产业发展，助力北京数字标杆城市建设方面贡献了新媒体力量。</w:t>
            </w:r>
          </w:p>
          <w:p>
            <w:pPr>
              <w:widowControl/>
              <w:spacing w:line="240" w:lineRule="exact"/>
              <w:jc w:val="both"/>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2022年，教师团队两名教师分别成为人社部教指委计算机技术与应用专业分委会副主任委员，创意设计分委会委员；2023年一名教师成为人社部教指委培训方向新媒体类副主任委员；2023年学院被人社部认定为全国技工院校工学一体化教师（信息类）培训基地；2022年学院（新媒体专业部）作为组长校牵头开发多媒体制作专业、作为副组长校开发计算机动画制作专业、计算机游戏制作专业等三个专业国家技能人才培养工学一体化课程标准和课程设置方案，专业部教师郝金亭作为人社部专家组成员指导数字与信息类17个专业的国标开发工作；2022年成功立项中国职协首批技工教育数字化改革创新课题《校企合作共建产业学院的模式和路径研究实践》并开展实践；2023年作为副理事长单位参与发起全国数字技术技能职业教育集团；2022-2023年累计在《职业》、《培训》等核心期刊发表论文4篇。2023年专业群2个思政典型案例入选北京市技工院校课程思政典型案例项目；2022年以来累计10人次获得世界技能大赛北京选拔赛、全国职业院校技能大赛北京选拔赛等省级技能大赛一二三等奖；2022年专业群数字媒体教学创新团队评为北京职业院校教师教学创新团队；参与北京市教育教育科学“十三五”规划（重点）课题1项，主持北京市教改课题3项、北京市人社局课题4项；2022年2项教学成果获得北京市职业教育教学成果一等奖、1项获得北京市职业教育教学成果二等奖；专业群2名教师在2022年北京市技工院校教师教学能力大赛中获得二、三等奖、1名老师在北京市技工院校班主任基本功大赛中获得三等奖； 2名学生获得北京市三好学生和国家奖学金；累计2个学生团队获得中国国际互联网+大学生创新创业大赛（北京赛区）一三等奖。</w:t>
            </w:r>
          </w:p>
        </w:tc>
      </w:tr>
      <w:tr>
        <w:tblPrEx>
          <w:tblLayout w:type="fixed"/>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绩</w:t>
            </w:r>
            <w:r>
              <w:rPr>
                <w:rFonts w:hint="eastAsia" w:ascii="仿宋_GB2312" w:hAnsi="宋体" w:eastAsia="仿宋_GB2312" w:cs="宋体"/>
                <w:kern w:val="0"/>
                <w:sz w:val="21"/>
                <w:szCs w:val="21"/>
                <w:highlight w:val="none"/>
              </w:rPr>
              <w:br w:type="textWrapping"/>
            </w:r>
            <w:r>
              <w:rPr>
                <w:rFonts w:hint="eastAsia" w:ascii="仿宋_GB2312" w:hAnsi="宋体" w:eastAsia="仿宋_GB2312" w:cs="宋体"/>
                <w:kern w:val="0"/>
                <w:sz w:val="21"/>
                <w:szCs w:val="21"/>
                <w:highlight w:val="none"/>
              </w:rPr>
              <w:t>效</w:t>
            </w:r>
            <w:r>
              <w:rPr>
                <w:rFonts w:hint="eastAsia" w:ascii="仿宋_GB2312" w:hAnsi="宋体" w:eastAsia="仿宋_GB2312" w:cs="宋体"/>
                <w:kern w:val="0"/>
                <w:sz w:val="21"/>
                <w:szCs w:val="21"/>
                <w:highlight w:val="none"/>
              </w:rPr>
              <w:br w:type="textWrapping"/>
            </w:r>
            <w:r>
              <w:rPr>
                <w:rFonts w:hint="eastAsia" w:ascii="仿宋_GB2312" w:hAnsi="宋体" w:eastAsia="仿宋_GB2312" w:cs="宋体"/>
                <w:kern w:val="0"/>
                <w:sz w:val="21"/>
                <w:szCs w:val="21"/>
                <w:highlight w:val="none"/>
              </w:rPr>
              <w:t>指</w:t>
            </w:r>
            <w:r>
              <w:rPr>
                <w:rFonts w:hint="eastAsia" w:ascii="仿宋_GB2312" w:hAnsi="宋体" w:eastAsia="仿宋_GB2312" w:cs="宋体"/>
                <w:kern w:val="0"/>
                <w:sz w:val="21"/>
                <w:szCs w:val="21"/>
                <w:highlight w:val="none"/>
              </w:rPr>
              <w:br w:type="textWrapping"/>
            </w:r>
            <w:r>
              <w:rPr>
                <w:rFonts w:hint="eastAsia" w:ascii="仿宋_GB2312" w:hAnsi="宋体" w:eastAsia="仿宋_GB2312" w:cs="宋体"/>
                <w:kern w:val="0"/>
                <w:sz w:val="21"/>
                <w:szCs w:val="21"/>
                <w:highlight w:val="none"/>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三级指标</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年度</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实际</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得分</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highlight w:val="none"/>
              </w:rPr>
            </w:pPr>
            <w:r>
              <w:rPr>
                <w:rFonts w:hint="eastAsia" w:ascii="仿宋_GB2312" w:hAnsi="宋体" w:eastAsia="仿宋_GB2312" w:cs="宋体"/>
                <w:kern w:val="0"/>
                <w:sz w:val="21"/>
                <w:szCs w:val="21"/>
                <w:highlight w:val="none"/>
              </w:rPr>
              <w:t>偏差原因分析及改进</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措施</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指标1：专业教学标准、岗位规范、质量标准</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＝3个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指标2：课程标准</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＝8门</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8</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指标3：数字化教学资源</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≥1TB</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指标4：大师工作室质量监控系统</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指标5：大师引领承担横向项目数量</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≥3个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指标6：人才培养方案</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＝1套</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指标7：新增设备数量</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≥100台（套）</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4</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指标8：培训包</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≥4个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指标9：课堂革命案例</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≥3个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指标10：实训学时数</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≥500学时</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810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2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指标11：大师组织技艺革新技术论坛</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＝6个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6</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指标12：面向社会开展的培训（人天）</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≥1000个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4200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指标13：课程思政案例</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≥5个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指标14：实训室数量</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≥2个</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4</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eastAsia="zh-CN"/>
              </w:rPr>
            </w:pPr>
            <w:r>
              <w:rPr>
                <w:rFonts w:hint="eastAsia" w:ascii="仿宋_GB2312" w:hAnsi="宋体" w:eastAsia="仿宋_GB2312" w:cs="宋体"/>
                <w:kern w:val="0"/>
                <w:sz w:val="21"/>
                <w:szCs w:val="21"/>
                <w:highlight w:val="none"/>
                <w:lang w:eastAsia="zh-CN"/>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指标1：技术服务项目验收通过率</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4</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4</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指标2：技术培训合格率</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≥90%</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指标3：设备采购项目验收通过率</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指标1：项目建设各项任务完成时间</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12个月</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12个月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2</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2</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color w:val="000000"/>
                <w:kern w:val="0"/>
                <w:sz w:val="21"/>
                <w:szCs w:val="21"/>
                <w:highlight w:val="none"/>
              </w:rPr>
            </w:pPr>
            <w:r>
              <w:rPr>
                <w:rFonts w:hint="eastAsia" w:ascii="宋体" w:hAnsi="宋体" w:eastAsia="宋体" w:cs="宋体"/>
                <w:i w:val="0"/>
                <w:color w:val="000000"/>
                <w:kern w:val="0"/>
                <w:sz w:val="18"/>
                <w:szCs w:val="18"/>
                <w:u w:val="none"/>
                <w:lang w:val="en-US" w:eastAsia="zh-CN" w:bidi="ar"/>
              </w:rPr>
              <w:t>指标2：教学培训计划完成时间</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12个月</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12个月</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3</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3</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效益指标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经济效益</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指标1：建成校内外实训基地，完成技术革新课题</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优</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10</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社会效益</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指标1：环境污染</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达标</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达标</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指标2：培养学生掌握数字光影技术</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达标先进</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达标先进</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10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10</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生态效益</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可持续影响指标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指标1：可持续影响时间</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6年</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宋体"/>
                <w:kern w:val="0"/>
                <w:sz w:val="21"/>
                <w:szCs w:val="21"/>
                <w:highlight w:val="none"/>
              </w:rPr>
            </w:pPr>
            <w:r>
              <w:rPr>
                <w:rFonts w:hint="eastAsia" w:ascii="宋体" w:hAnsi="宋体" w:eastAsia="宋体" w:cs="宋体"/>
                <w:i w:val="0"/>
                <w:color w:val="000000"/>
                <w:kern w:val="0"/>
                <w:sz w:val="18"/>
                <w:szCs w:val="18"/>
                <w:u w:val="none"/>
                <w:lang w:val="en-US" w:eastAsia="zh-CN" w:bidi="ar"/>
              </w:rPr>
              <w:t>6年</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指标2：</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满意度</w:t>
            </w:r>
          </w:p>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服务对象满意度标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指标1：学生满意度</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宋体"/>
                <w:kern w:val="0"/>
                <w:sz w:val="21"/>
                <w:szCs w:val="21"/>
                <w:highlight w:val="none"/>
                <w:lang w:val="en-US"/>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90</w:t>
            </w:r>
            <w:r>
              <w:rPr>
                <w:rFonts w:hint="eastAsia" w:ascii="宋体" w:hAnsi="宋体" w:cs="宋体"/>
                <w:i w:val="0"/>
                <w:color w:val="000000"/>
                <w:kern w:val="0"/>
                <w:sz w:val="18"/>
                <w:szCs w:val="18"/>
                <w:u w:val="none"/>
                <w:lang w:val="en-US" w:eastAsia="zh-CN" w:bidi="ar"/>
              </w:rPr>
              <w:t>%</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宋体"/>
                <w:kern w:val="0"/>
                <w:sz w:val="21"/>
                <w:szCs w:val="21"/>
                <w:highlight w:val="none"/>
                <w:lang w:val="en-US"/>
              </w:rPr>
            </w:pPr>
            <w:r>
              <w:rPr>
                <w:rFonts w:hint="eastAsia" w:ascii="宋体" w:hAnsi="宋体" w:eastAsia="宋体" w:cs="宋体"/>
                <w:i w:val="0"/>
                <w:color w:val="000000"/>
                <w:kern w:val="0"/>
                <w:sz w:val="18"/>
                <w:szCs w:val="18"/>
                <w:u w:val="none"/>
                <w:lang w:val="en-US" w:eastAsia="zh-CN" w:bidi="ar"/>
              </w:rPr>
              <w:t>94</w:t>
            </w:r>
            <w:r>
              <w:rPr>
                <w:rFonts w:hint="eastAsia" w:ascii="宋体" w:hAnsi="宋体" w:cs="宋体"/>
                <w:i w:val="0"/>
                <w:color w:val="000000"/>
                <w:kern w:val="0"/>
                <w:sz w:val="18"/>
                <w:szCs w:val="18"/>
                <w:u w:val="none"/>
                <w:lang w:val="en-US" w:eastAsia="zh-CN" w:bidi="ar"/>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指标2：家长满意度</w:t>
            </w:r>
          </w:p>
        </w:tc>
        <w:tc>
          <w:tcPr>
            <w:tcW w:w="8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宋体"/>
                <w:kern w:val="0"/>
                <w:sz w:val="21"/>
                <w:szCs w:val="21"/>
                <w:highlight w:val="none"/>
                <w:lang w:val="en-US"/>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90</w:t>
            </w:r>
            <w:r>
              <w:rPr>
                <w:rFonts w:hint="eastAsia" w:ascii="宋体" w:hAnsi="宋体" w:cs="宋体"/>
                <w:i w:val="0"/>
                <w:color w:val="000000"/>
                <w:kern w:val="0"/>
                <w:sz w:val="18"/>
                <w:szCs w:val="18"/>
                <w:u w:val="none"/>
                <w:lang w:val="en-US" w:eastAsia="zh-CN" w:bidi="ar"/>
              </w:rPr>
              <w:t>%</w:t>
            </w:r>
          </w:p>
        </w:tc>
        <w:tc>
          <w:tcPr>
            <w:tcW w:w="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宋体"/>
                <w:kern w:val="0"/>
                <w:sz w:val="21"/>
                <w:szCs w:val="21"/>
                <w:highlight w:val="none"/>
                <w:lang w:val="en-US"/>
              </w:rPr>
            </w:pPr>
            <w:r>
              <w:rPr>
                <w:rFonts w:hint="eastAsia" w:ascii="宋体" w:hAnsi="宋体" w:eastAsia="宋体" w:cs="宋体"/>
                <w:i w:val="0"/>
                <w:color w:val="000000"/>
                <w:kern w:val="0"/>
                <w:sz w:val="18"/>
                <w:szCs w:val="18"/>
                <w:u w:val="none"/>
                <w:lang w:val="en-US" w:eastAsia="zh-CN" w:bidi="ar"/>
              </w:rPr>
              <w:t>90</w:t>
            </w:r>
            <w:r>
              <w:rPr>
                <w:rFonts w:hint="eastAsia" w:ascii="宋体" w:hAnsi="宋体" w:cs="宋体"/>
                <w:i w:val="0"/>
                <w:color w:val="000000"/>
                <w:kern w:val="0"/>
                <w:sz w:val="18"/>
                <w:szCs w:val="18"/>
                <w:u w:val="none"/>
                <w:lang w:val="en-US" w:eastAsia="zh-CN" w:bidi="ar"/>
              </w:rPr>
              <w:t>%</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lang w:val="en-US" w:eastAsia="zh-CN"/>
              </w:rPr>
            </w:pPr>
            <w:r>
              <w:rPr>
                <w:rFonts w:hint="eastAsia" w:ascii="仿宋_GB2312" w:hAnsi="宋体" w:eastAsia="仿宋_GB2312" w:cs="宋体"/>
                <w:kern w:val="0"/>
                <w:sz w:val="21"/>
                <w:szCs w:val="21"/>
                <w:highlight w:val="none"/>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lang w:val="en-US" w:eastAsia="zh-CN"/>
              </w:rPr>
              <w:t>5</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r>
              <w:rPr>
                <w:rFonts w:hint="eastAsia" w:ascii="仿宋_GB2312" w:hAnsi="宋体" w:eastAsia="仿宋_GB2312" w:cs="宋体"/>
                <w:kern w:val="0"/>
                <w:sz w:val="21"/>
                <w:szCs w:val="21"/>
                <w:highlight w:val="none"/>
              </w:rPr>
              <w:t>无</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r>
        <w:tblPrEx>
          <w:tblLayout w:type="fixed"/>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1"/>
                <w:szCs w:val="21"/>
                <w:highlight w:val="none"/>
              </w:rPr>
            </w:pPr>
            <w:r>
              <w:rPr>
                <w:rFonts w:hint="eastAsia" w:ascii="仿宋_GB2312" w:hAnsi="宋体" w:eastAsia="仿宋_GB2312" w:cs="宋体"/>
                <w:color w:val="000000"/>
                <w:kern w:val="0"/>
                <w:sz w:val="21"/>
                <w:szCs w:val="21"/>
                <w:highlight w:val="none"/>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21"/>
                <w:szCs w:val="21"/>
                <w:highlight w:val="none"/>
                <w:lang w:val="en-US" w:eastAsia="zh-CN"/>
              </w:rPr>
            </w:pPr>
            <w:r>
              <w:rPr>
                <w:rFonts w:hint="eastAsia" w:ascii="仿宋_GB2312" w:hAnsi="宋体" w:eastAsia="仿宋_GB2312" w:cs="宋体"/>
                <w:color w:val="000000"/>
                <w:kern w:val="0"/>
                <w:sz w:val="21"/>
                <w:szCs w:val="21"/>
                <w:highlight w:val="none"/>
                <w:lang w:val="en-US" w:eastAsia="zh-CN"/>
              </w:rPr>
              <w:t>99.9</w:t>
            </w:r>
          </w:p>
        </w:tc>
        <w:tc>
          <w:tcPr>
            <w:tcW w:w="17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1"/>
                <w:szCs w:val="21"/>
                <w:highlight w:val="none"/>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11B74362"/>
    <w:rsid w:val="142460EB"/>
    <w:rsid w:val="37173543"/>
    <w:rsid w:val="3FF76880"/>
    <w:rsid w:val="55D27D01"/>
    <w:rsid w:val="585C4059"/>
    <w:rsid w:val="6E6D67C3"/>
    <w:rsid w:val="71E947C9"/>
    <w:rsid w:val="72434811"/>
    <w:rsid w:val="7AB7FF50"/>
    <w:rsid w:val="7BFEB0DB"/>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WANG.Y</cp:lastModifiedBy>
  <cp:lastPrinted>2022-03-24T10:01:00Z</cp:lastPrinted>
  <dcterms:modified xsi:type="dcterms:W3CDTF">2024-04-26T02:45:19Z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