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北京市工艺美术高级技工学校</w:t>
      </w: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pPr>
        <w:spacing w:line="560" w:lineRule="exact"/>
        <w:jc w:val="center"/>
        <w:rPr>
          <w:rFonts w:hint="eastAsia"/>
        </w:rPr>
      </w:pPr>
      <w:r>
        <w:rPr>
          <w:rFonts w:hint="eastAsia" w:ascii="方正小标宋简体" w:eastAsia="方正小标宋简体"/>
          <w:color w:val="000000"/>
          <w:sz w:val="32"/>
          <w:szCs w:val="32"/>
          <w:u w:val="none"/>
        </w:rPr>
        <w:t>目   录</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18"/>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pPr>
        <w:autoSpaceDE w:val="0"/>
        <w:autoSpaceDN w:val="0"/>
        <w:adjustRightInd w:val="0"/>
        <w:spacing w:line="560" w:lineRule="exact"/>
        <w:ind w:firstLine="640" w:firstLineChars="200"/>
        <w:jc w:val="left"/>
        <w:rPr>
          <w:rFonts w:hint="eastAsia" w:ascii="方正小标宋简体" w:eastAsia="方正小标宋简体"/>
          <w:color w:val="000000"/>
          <w:sz w:val="36"/>
          <w:szCs w:val="36"/>
          <w:u w:val="none"/>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560" w:lineRule="exact"/>
        <w:jc w:val="both"/>
        <w:rPr>
          <w:rFonts w:hint="eastAsia" w:ascii="黑体" w:eastAsia="黑体"/>
          <w:color w:val="000000"/>
          <w:sz w:val="32"/>
          <w:szCs w:val="32"/>
          <w:u w:val="none"/>
          <w:lang w:eastAsia="zh-CN"/>
        </w:rPr>
      </w:pPr>
      <w:r>
        <w:rPr>
          <w:rFonts w:hint="eastAsia" w:ascii="方正小标宋简体" w:eastAsia="方正小标宋简体"/>
          <w:color w:val="000000"/>
          <w:sz w:val="36"/>
          <w:szCs w:val="36"/>
          <w:u w:val="none"/>
          <w:lang w:val="en-US" w:eastAsia="zh-CN"/>
        </w:rPr>
        <w:t xml:space="preserve">   </w:t>
      </w: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w:t>
      </w:r>
      <w:r>
        <w:rPr>
          <w:rFonts w:hint="eastAsia" w:ascii="楷体_GB2312" w:eastAsia="楷体_GB2312"/>
          <w:color w:val="000000"/>
          <w:sz w:val="32"/>
          <w:szCs w:val="32"/>
          <w:u w:val="none"/>
        </w:rPr>
        <w:t>（一）本单位性质、职责等情况</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北京市工艺美术高级技工学校</w:t>
      </w:r>
      <w:r>
        <w:rPr>
          <w:rFonts w:hint="eastAsia" w:ascii="仿宋_GB2312" w:eastAsia="仿宋_GB2312"/>
          <w:sz w:val="32"/>
          <w:szCs w:val="32"/>
        </w:rPr>
        <w:t>隶属于北京时尚控股有限责任公司。</w:t>
      </w:r>
      <w:r>
        <w:rPr>
          <w:rFonts w:hint="eastAsia" w:ascii="仿宋_GB2312" w:eastAsia="仿宋_GB2312"/>
          <w:color w:val="000000"/>
          <w:sz w:val="32"/>
          <w:szCs w:val="32"/>
        </w:rPr>
        <w:t>根据北京市机构编制委员会办公室《关于明确北京市工艺美术技工学校为事业单位的批复》（京编事字【1994】212号），批准北京市工艺美术技工学校为</w:t>
      </w:r>
      <w:r>
        <w:rPr>
          <w:rFonts w:hint="eastAsia" w:ascii="仿宋_GB2312" w:eastAsia="仿宋_GB2312"/>
          <w:color w:val="000000"/>
          <w:sz w:val="32"/>
          <w:szCs w:val="32"/>
          <w:lang w:eastAsia="zh-CN"/>
        </w:rPr>
        <w:t>公益二类</w:t>
      </w:r>
      <w:r>
        <w:rPr>
          <w:rFonts w:hint="eastAsia" w:ascii="仿宋_GB2312" w:eastAsia="仿宋_GB2312"/>
          <w:color w:val="000000"/>
          <w:sz w:val="32"/>
          <w:szCs w:val="32"/>
        </w:rPr>
        <w:t>财政</w:t>
      </w:r>
      <w:r>
        <w:rPr>
          <w:rFonts w:hint="eastAsia" w:ascii="仿宋_GB2312" w:eastAsia="仿宋_GB2312"/>
          <w:color w:val="000000"/>
          <w:sz w:val="32"/>
          <w:szCs w:val="32"/>
          <w:lang w:eastAsia="zh-CN"/>
        </w:rPr>
        <w:t>补助</w:t>
      </w:r>
      <w:r>
        <w:rPr>
          <w:rFonts w:hint="eastAsia" w:ascii="仿宋_GB2312" w:eastAsia="仿宋_GB2312"/>
          <w:color w:val="000000"/>
          <w:sz w:val="32"/>
          <w:szCs w:val="32"/>
        </w:rPr>
        <w:t>事业单位，2009年9月更名为北京市工艺美术高级技工学校。</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北京市工艺美术高级技工学校是北京唯一的一所培养工艺美术专业技能人才的中等职业学校，主要职责是为北京市培养符合社会需求的合格的中、高级及以上工艺美术技能人才，开展工艺美术及设计相关专业初、高中毕业生技工教育，从事工艺美术行业在职人员技能等级培训及认定，工艺美术行业就业咨询，对社会人员进行工艺美术设计制作、珠宝设计制作、珠宝鉴定营销、媒体艺术设计、幼儿美术教育等技能培训。</w:t>
      </w:r>
    </w:p>
    <w:p>
      <w:pPr>
        <w:numPr>
          <w:ilvl w:val="0"/>
          <w:numId w:val="0"/>
        </w:numPr>
        <w:spacing w:line="560" w:lineRule="exact"/>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（二）</w:t>
      </w:r>
      <w:r>
        <w:rPr>
          <w:rFonts w:hint="eastAsia" w:ascii="楷体_GB2312" w:eastAsia="楷体_GB2312"/>
          <w:color w:val="000000"/>
          <w:sz w:val="32"/>
          <w:szCs w:val="32"/>
          <w:u w:val="none"/>
        </w:rPr>
        <w:t>机构设置情况</w:t>
      </w:r>
    </w:p>
    <w:p>
      <w:pPr>
        <w:ind w:firstLine="555"/>
        <w:rPr>
          <w:rFonts w:hint="eastAsia" w:ascii="仿宋_GB2312" w:eastAsia="仿宋_GB2312"/>
          <w:sz w:val="32"/>
          <w:szCs w:val="32"/>
        </w:rPr>
      </w:pPr>
      <w:r>
        <w:rPr>
          <w:rFonts w:hint="eastAsia" w:ascii="仿宋_GB2312" w:eastAsia="仿宋_GB2312"/>
          <w:sz w:val="32"/>
          <w:szCs w:val="32"/>
        </w:rPr>
        <w:t>北京市工艺美术高级技工学校内设9个科室。分别是办公室、党务办公室、财务科、总务科、学生科、招生就业办公室、教管中心、培训部、团委。</w:t>
      </w:r>
    </w:p>
    <w:p>
      <w:pPr>
        <w:numPr>
          <w:ilvl w:val="0"/>
          <w:numId w:val="0"/>
        </w:numPr>
        <w:spacing w:line="560" w:lineRule="exact"/>
        <w:rPr>
          <w:rFonts w:hint="eastAsia" w:ascii="楷体_GB2312" w:eastAsia="楷体_GB2312"/>
          <w:color w:val="000000"/>
          <w:sz w:val="32"/>
          <w:szCs w:val="32"/>
          <w:u w:val="none"/>
          <w:lang w:val="en-US" w:eastAsia="zh-CN"/>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北京市工艺美术高级技工学校包括</w:t>
      </w:r>
      <w:r>
        <w:rPr>
          <w:rFonts w:hint="eastAsia" w:ascii="仿宋_GB2312" w:eastAsia="仿宋_GB2312"/>
          <w:color w:val="000000"/>
          <w:sz w:val="32"/>
          <w:szCs w:val="32"/>
          <w:lang w:eastAsia="zh-CN"/>
        </w:rPr>
        <w:t>下</w:t>
      </w:r>
      <w:r>
        <w:rPr>
          <w:rFonts w:hint="eastAsia" w:ascii="仿宋_GB2312" w:eastAsia="仿宋_GB2312"/>
          <w:color w:val="000000"/>
          <w:sz w:val="32"/>
          <w:szCs w:val="32"/>
        </w:rPr>
        <w:t>属事业单位1家，即北京市工艺美术高级技工学校，属</w:t>
      </w:r>
      <w:r>
        <w:rPr>
          <w:rFonts w:hint="eastAsia" w:ascii="仿宋_GB2312" w:eastAsia="仿宋_GB2312"/>
          <w:color w:val="000000"/>
          <w:sz w:val="32"/>
          <w:szCs w:val="32"/>
          <w:lang w:eastAsia="zh-CN"/>
        </w:rPr>
        <w:t>公益二类财政补助</w:t>
      </w:r>
      <w:r>
        <w:rPr>
          <w:rFonts w:hint="eastAsia" w:ascii="仿宋_GB2312" w:eastAsia="仿宋_GB2312"/>
          <w:color w:val="000000"/>
          <w:sz w:val="32"/>
          <w:szCs w:val="32"/>
        </w:rPr>
        <w:t>事业单位。</w:t>
      </w:r>
    </w:p>
    <w:p>
      <w:pPr>
        <w:numPr>
          <w:ilvl w:val="0"/>
          <w:numId w:val="0"/>
        </w:numPr>
        <w:spacing w:line="560" w:lineRule="exact"/>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w:t>
      </w: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ind w:firstLine="640" w:firstLineChars="200"/>
        <w:rPr>
          <w:rFonts w:ascii="仿宋_GB2312" w:eastAsia="仿宋_GB2312"/>
          <w:sz w:val="32"/>
          <w:szCs w:val="32"/>
        </w:rPr>
      </w:pPr>
      <w:r>
        <w:rPr>
          <w:rFonts w:hint="eastAsia" w:ascii="仿宋_GB2312" w:eastAsia="仿宋_GB2312"/>
          <w:sz w:val="32"/>
          <w:szCs w:val="32"/>
        </w:rPr>
        <w:t>北京市工艺美术高级技工学校行政编制0人，实际0人；事业编制105人，实际8</w:t>
      </w:r>
      <w:r>
        <w:rPr>
          <w:rFonts w:hint="eastAsia" w:ascii="仿宋_GB2312" w:eastAsia="仿宋_GB2312"/>
          <w:sz w:val="32"/>
          <w:szCs w:val="32"/>
          <w:lang w:val="en-US" w:eastAsia="zh-CN"/>
        </w:rPr>
        <w:t>6</w:t>
      </w:r>
      <w:r>
        <w:rPr>
          <w:rFonts w:hint="eastAsia" w:ascii="仿宋_GB2312" w:eastAsia="仿宋_GB2312"/>
          <w:sz w:val="32"/>
          <w:szCs w:val="32"/>
        </w:rPr>
        <w:t>人；</w:t>
      </w:r>
      <w:r>
        <w:rPr>
          <w:rFonts w:hint="eastAsia" w:ascii="仿宋_GB2312" w:eastAsia="仿宋_GB2312"/>
          <w:sz w:val="32"/>
          <w:szCs w:val="32"/>
          <w:lang w:eastAsia="zh-CN"/>
        </w:rPr>
        <w:t>其他</w:t>
      </w:r>
      <w:r>
        <w:rPr>
          <w:rFonts w:hint="eastAsia" w:ascii="仿宋_GB2312" w:eastAsia="仿宋_GB2312"/>
          <w:sz w:val="32"/>
          <w:szCs w:val="32"/>
        </w:rPr>
        <w:t>人员</w:t>
      </w:r>
      <w:r>
        <w:rPr>
          <w:rFonts w:hint="eastAsia" w:ascii="仿宋_GB2312" w:eastAsia="仿宋_GB2312"/>
          <w:sz w:val="32"/>
          <w:szCs w:val="32"/>
          <w:lang w:val="en-US" w:eastAsia="zh-CN"/>
        </w:rPr>
        <w:t>114人</w:t>
      </w:r>
      <w:r>
        <w:rPr>
          <w:rFonts w:hint="eastAsia" w:ascii="仿宋_GB2312" w:eastAsia="仿宋_GB2312"/>
          <w:sz w:val="32"/>
          <w:szCs w:val="32"/>
        </w:rPr>
        <w:t>（其他聘用人员--临时工58人</w:t>
      </w:r>
      <w:r>
        <w:rPr>
          <w:rFonts w:hint="eastAsia" w:ascii="仿宋_GB2312" w:eastAsia="仿宋_GB2312"/>
          <w:sz w:val="32"/>
          <w:szCs w:val="32"/>
          <w:lang w:eastAsia="zh-CN"/>
        </w:rPr>
        <w:t>，</w:t>
      </w:r>
      <w:r>
        <w:rPr>
          <w:rFonts w:hint="eastAsia" w:ascii="仿宋_GB2312" w:eastAsia="仿宋_GB2312"/>
          <w:sz w:val="32"/>
          <w:szCs w:val="32"/>
        </w:rPr>
        <w:t>离休0人，退休5</w:t>
      </w:r>
      <w:r>
        <w:rPr>
          <w:rFonts w:hint="eastAsia" w:ascii="仿宋_GB2312" w:eastAsia="仿宋_GB2312"/>
          <w:sz w:val="32"/>
          <w:szCs w:val="32"/>
          <w:lang w:val="en-US" w:eastAsia="zh-CN"/>
        </w:rPr>
        <w:t>6</w:t>
      </w:r>
      <w:r>
        <w:rPr>
          <w:rFonts w:hint="eastAsia" w:ascii="仿宋_GB2312" w:eastAsia="仿宋_GB2312"/>
          <w:sz w:val="32"/>
          <w:szCs w:val="32"/>
        </w:rPr>
        <w:t>人）。</w:t>
      </w:r>
    </w:p>
    <w:p>
      <w:pPr>
        <w:spacing w:line="560" w:lineRule="exact"/>
        <w:rPr>
          <w:rFonts w:hint="eastAsia" w:ascii="黑体" w:eastAsia="黑体"/>
          <w:color w:val="000000"/>
          <w:sz w:val="32"/>
          <w:szCs w:val="32"/>
          <w:u w:val="none"/>
          <w:lang w:eastAsia="zh-CN"/>
        </w:rPr>
      </w:pPr>
      <w:r>
        <w:rPr>
          <w:rFonts w:hint="eastAsia" w:ascii="黑体" w:eastAsia="黑体"/>
          <w:color w:val="000000"/>
          <w:sz w:val="32"/>
          <w:szCs w:val="32"/>
          <w:u w:val="none"/>
          <w:lang w:val="en-US" w:eastAsia="zh-CN"/>
        </w:rPr>
        <w:t xml:space="preserve">    </w:t>
      </w: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Droid Sans"/>
          <w:color w:val="auto"/>
          <w:sz w:val="32"/>
          <w:szCs w:val="32"/>
          <w:u w:val="none"/>
          <w:lang w:val="en-US" w:eastAsia="zh-CN"/>
        </w:rPr>
        <w:t>2025年度收入预算8080.67</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7422.99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657.68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，增长</w:t>
      </w:r>
      <w:r>
        <w:rPr>
          <w:rFonts w:hint="eastAsia" w:ascii="仿宋_GB2312" w:eastAsia="仿宋_GB2312"/>
          <w:color w:val="auto"/>
          <w:sz w:val="32"/>
          <w:szCs w:val="32"/>
          <w:u w:val="none"/>
          <w:lang w:val="en-US" w:eastAsia="zh-CN"/>
        </w:rPr>
        <w:t>8.86</w:t>
      </w:r>
      <w:r>
        <w:rPr>
          <w:rFonts w:hint="eastAsia" w:ascii="仿宋_GB2312" w:eastAsia="仿宋_GB2312"/>
          <w:color w:val="auto"/>
          <w:sz w:val="32"/>
          <w:szCs w:val="32"/>
          <w:u w:val="none"/>
        </w:rPr>
        <w:t>%。</w:t>
      </w:r>
      <w:r>
        <w:rPr>
          <w:rFonts w:hint="eastAsia" w:ascii="仿宋_GB2312" w:eastAsia="仿宋_GB2312" w:cs="仿宋_GB2312"/>
          <w:kern w:val="0"/>
          <w:sz w:val="32"/>
          <w:szCs w:val="32"/>
        </w:rPr>
        <w:t>主要原因是</w:t>
      </w:r>
      <w:r>
        <w:rPr>
          <w:rFonts w:hint="eastAsia" w:ascii="仿宋_GB2312" w:eastAsia="仿宋_GB2312" w:cs="仿宋_GB2312"/>
          <w:kern w:val="0"/>
          <w:sz w:val="32"/>
          <w:szCs w:val="32"/>
          <w:lang w:eastAsia="zh-CN"/>
        </w:rPr>
        <w:t>新入职教职工及学生人数增加相应人员经费和生均拨款增加，以及工学一体化优质课堂建设、公务用车更新购置等项目增加</w:t>
      </w:r>
      <w:r>
        <w:rPr>
          <w:rFonts w:hint="eastAsia" w:ascii="仿宋_GB2312" w:eastAsia="仿宋_GB2312" w:cs="仿宋_GB2312"/>
          <w:kern w:val="0"/>
          <w:sz w:val="32"/>
          <w:szCs w:val="32"/>
        </w:rPr>
        <w:t>。</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楷体_GB2312" w:eastAsia="楷体_GB2312"/>
          <w:color w:val="auto"/>
          <w:sz w:val="32"/>
          <w:szCs w:val="32"/>
          <w:u w:val="none"/>
          <w:lang w:val="en-US" w:eastAsia="zh-CN"/>
        </w:rPr>
        <w:t>7670.67</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lang w:val="en-US" w:eastAsia="zh-CN"/>
        </w:rPr>
        <w:t>7670.67</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360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4.财政专户管理资金收入190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5.事业收入120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9.其他收入50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50</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10.上年结转结余50</w:t>
      </w:r>
      <w:r>
        <w:rPr>
          <w:rFonts w:hint="eastAsia" w:ascii="仿宋_GB2312" w:eastAsia="仿宋_GB2312" w:cs="Droid Sans"/>
          <w:color w:val="auto"/>
          <w:sz w:val="32"/>
          <w:szCs w:val="32"/>
          <w:u w:val="none"/>
        </w:rPr>
        <w:t>万元。</w:t>
      </w:r>
    </w:p>
    <w:p>
      <w:pPr>
        <w:pStyle w:val="2"/>
        <w:rPr>
          <w:rFonts w:hint="eastAsia"/>
        </w:rPr>
      </w:pPr>
      <w:r>
        <w:rPr>
          <w:rFonts w:hint="eastAsia" w:ascii="仿宋_GB2312" w:eastAsia="仿宋_GB2312" w:cs="仿宋_GB2312"/>
          <w:kern w:val="0"/>
          <w:sz w:val="32"/>
          <w:szCs w:val="32"/>
        </w:rPr>
        <w:drawing>
          <wp:inline distT="0" distB="0" distL="0" distR="0">
            <wp:extent cx="5274310" cy="3076575"/>
            <wp:effectExtent l="5080" t="4445" r="16510" b="508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firstLine="0"/>
        <w:jc w:val="center"/>
        <w:rPr>
          <w:rFonts w:hint="eastAsia" w:ascii="仿宋_GB2312" w:eastAsia="仿宋_GB2312"/>
          <w:b w:val="0"/>
          <w:bCs w:val="0"/>
          <w:color w:val="auto"/>
          <w:sz w:val="32"/>
          <w:szCs w:val="32"/>
          <w:u w:val="none"/>
          <w:lang w:val="en-US" w:eastAsia="zh-CN"/>
        </w:rPr>
      </w:pPr>
      <w:r>
        <w:rPr>
          <w:rFonts w:hint="eastAsia" w:eastAsia="仿宋_GB2312"/>
          <w:lang w:val="en-US" w:eastAsia="zh-CN"/>
        </w:rPr>
        <w:t xml:space="preserve"> </w:t>
      </w: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r>
        <w:rPr>
          <w:rFonts w:hint="eastAsia" w:ascii="仿宋_GB2312" w:eastAsia="仿宋_GB2312"/>
          <w:color w:val="000000"/>
          <w:sz w:val="32"/>
          <w:szCs w:val="32"/>
          <w:u w:val="none"/>
          <w:lang w:val="en-US" w:eastAsia="zh-CN"/>
        </w:rPr>
        <w:t xml:space="preserve"> </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8080.67</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7422.99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657.68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8.86</w:t>
      </w:r>
      <w:r>
        <w:rPr>
          <w:rFonts w:hint="eastAsia" w:ascii="仿宋_GB2312" w:eastAsia="仿宋_GB2312"/>
          <w:color w:val="auto"/>
          <w:sz w:val="32"/>
          <w:szCs w:val="32"/>
          <w:u w:val="none"/>
        </w:rPr>
        <w:t>%。</w:t>
      </w:r>
      <w:r>
        <w:rPr>
          <w:rFonts w:hint="eastAsia" w:ascii="仿宋_GB2312" w:eastAsia="仿宋_GB2312" w:cs="仿宋_GB2312"/>
          <w:kern w:val="0"/>
          <w:sz w:val="32"/>
          <w:szCs w:val="32"/>
        </w:rPr>
        <w:t>主要原因是</w:t>
      </w:r>
      <w:r>
        <w:rPr>
          <w:rFonts w:hint="eastAsia" w:ascii="仿宋_GB2312" w:eastAsia="仿宋_GB2312" w:cs="仿宋_GB2312"/>
          <w:kern w:val="0"/>
          <w:sz w:val="32"/>
          <w:szCs w:val="32"/>
          <w:lang w:eastAsia="zh-CN"/>
        </w:rPr>
        <w:t>新入职教职工及学生人数增加相应人员经费和公用经费增加，以及工学一体化优质课堂建设、公务用车更新购置等项目经费增加</w:t>
      </w:r>
      <w:r>
        <w:rPr>
          <w:rFonts w:hint="eastAsia" w:ascii="仿宋_GB2312" w:eastAsia="仿宋_GB2312" w:cs="仿宋_GB2312"/>
          <w:kern w:val="0"/>
          <w:sz w:val="32"/>
          <w:szCs w:val="32"/>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5424.62</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u w:val="none"/>
          <w:lang w:val="en-US" w:eastAsia="zh-CN"/>
        </w:rPr>
        <w:t>67.13</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5188.94</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235.68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4.54</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val="en-US" w:eastAsia="zh-CN"/>
        </w:rPr>
        <w:t>2656.05</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2234.05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422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增长</w:t>
      </w:r>
      <w:r>
        <w:rPr>
          <w:rFonts w:hint="eastAsia" w:ascii="仿宋_GB2312" w:eastAsia="仿宋_GB2312"/>
          <w:color w:val="auto"/>
          <w:sz w:val="32"/>
          <w:szCs w:val="32"/>
          <w:u w:val="none"/>
          <w:lang w:val="en-US" w:eastAsia="zh-CN"/>
        </w:rPr>
        <w:t>18.89</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 xml:space="preserve"> </w:t>
      </w:r>
    </w:p>
    <w:p>
      <w:pPr>
        <w:pStyle w:val="2"/>
        <w:rPr>
          <w:rFonts w:hint="eastAsia"/>
          <w:lang w:eastAsia="zh-CN"/>
        </w:rPr>
      </w:pPr>
      <w:r>
        <w:rPr>
          <w:rFonts w:hint="eastAsia" w:ascii="仿宋_GB2312" w:eastAsia="仿宋_GB2312" w:cs="仿宋_GB2312"/>
          <w:kern w:val="0"/>
          <w:sz w:val="32"/>
          <w:szCs w:val="32"/>
        </w:rPr>
        <w:drawing>
          <wp:inline distT="0" distB="0" distL="0" distR="0">
            <wp:extent cx="5349875" cy="3094990"/>
            <wp:effectExtent l="4445" t="4445" r="17780" b="571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（一）“三公”经费的单位范围</w:t>
      </w:r>
    </w:p>
    <w:p>
      <w:pPr>
        <w:spacing w:line="560" w:lineRule="exac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 xml:space="preserve">    </w:t>
      </w:r>
      <w:r>
        <w:rPr>
          <w:rFonts w:hint="eastAsia" w:ascii="仿宋_GB2312" w:eastAsia="仿宋_GB2312"/>
          <w:color w:val="auto"/>
          <w:sz w:val="32"/>
          <w:szCs w:val="32"/>
          <w:u w:val="none"/>
          <w:lang w:eastAsia="zh-CN"/>
        </w:rPr>
        <w:t>北京市工艺美术高级技工学校</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北京市工艺美术高级技工学校</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个所属单位。</w:t>
      </w:r>
      <w:r>
        <w:rPr>
          <w:rFonts w:hint="eastAsia" w:ascii="仿宋_GB2312" w:eastAsia="仿宋_GB2312"/>
          <w:color w:val="auto"/>
          <w:sz w:val="32"/>
          <w:szCs w:val="32"/>
          <w:u w:val="none"/>
          <w:lang w:val="en-US" w:eastAsia="zh-CN"/>
        </w:rPr>
        <w:t xml:space="preserve"> </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r>
        <w:rPr>
          <w:rFonts w:hint="eastAsia" w:ascii="楷体_GB2312" w:eastAsia="楷体_GB2312" w:cs="Droid Sans"/>
          <w:color w:val="auto"/>
          <w:sz w:val="32"/>
          <w:szCs w:val="32"/>
          <w:u w:val="none"/>
          <w:lang w:val="en-US" w:eastAsia="zh-CN"/>
        </w:rPr>
        <w:t xml:space="preserve"> </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37.28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比2024年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17.98万元</w:t>
      </w:r>
      <w:r>
        <w:rPr>
          <w:rFonts w:hint="eastAsia" w:ascii="仿宋_GB2312" w:eastAsia="仿宋_GB2312"/>
          <w:color w:val="auto"/>
          <w:sz w:val="32"/>
          <w:szCs w:val="32"/>
          <w:u w:val="none"/>
        </w:rPr>
        <w:t>。其中：</w:t>
      </w:r>
    </w:p>
    <w:p>
      <w:pPr>
        <w:numPr>
          <w:ilvl w:val="0"/>
          <w:numId w:val="0"/>
        </w:numPr>
        <w:spacing w:line="560" w:lineRule="exac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 xml:space="preserve">   1.</w:t>
      </w:r>
      <w:r>
        <w:rPr>
          <w:rFonts w:hint="eastAsia" w:ascii="仿宋_GB2312" w:eastAsia="仿宋_GB2312"/>
          <w:color w:val="auto"/>
          <w:sz w:val="32"/>
          <w:szCs w:val="32"/>
          <w:u w:val="none"/>
        </w:rPr>
        <w:t>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0万元</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lang w:val="en-US" w:eastAsia="zh-CN"/>
        </w:rPr>
        <w:t xml:space="preserve"> </w:t>
      </w:r>
    </w:p>
    <w:p>
      <w:pPr>
        <w:rPr>
          <w:rFonts w:hint="eastAsia" w:ascii="仿宋_GB2312" w:eastAsia="仿宋_GB2312"/>
          <w:color w:val="auto"/>
          <w:sz w:val="32"/>
          <w:szCs w:val="32"/>
          <w:u w:val="none"/>
          <w:lang w:val="en-US"/>
        </w:rPr>
      </w:pPr>
      <w:r>
        <w:rPr>
          <w:rFonts w:hint="eastAsia" w:ascii="仿宋_GB2312" w:eastAsia="仿宋_GB2312"/>
          <w:color w:val="auto"/>
          <w:sz w:val="32"/>
          <w:szCs w:val="32"/>
          <w:u w:val="none"/>
          <w:lang w:val="en-US" w:eastAsia="zh-CN"/>
        </w:rPr>
        <w:t xml:space="preserve">   </w:t>
      </w: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0.6万元</w:t>
      </w:r>
      <w:r>
        <w:rPr>
          <w:rFonts w:hint="eastAsia" w:ascii="仿宋_GB2312" w:eastAsia="仿宋_GB2312"/>
          <w:color w:val="auto"/>
          <w:sz w:val="32"/>
          <w:szCs w:val="32"/>
          <w:u w:val="none"/>
          <w:lang w:eastAsia="zh-CN"/>
        </w:rPr>
        <w:t>持平，</w:t>
      </w:r>
      <w:r>
        <w:rPr>
          <w:rFonts w:hint="eastAsia" w:ascii="仿宋_GB2312" w:eastAsia="仿宋_GB2312"/>
          <w:sz w:val="32"/>
          <w:szCs w:val="32"/>
          <w:lang w:eastAsia="zh-CN"/>
        </w:rPr>
        <w:t>2025</w:t>
      </w:r>
      <w:r>
        <w:rPr>
          <w:rFonts w:hint="eastAsia" w:ascii="仿宋_GB2312" w:hAnsi="Times New Roman" w:eastAsia="仿宋_GB2312"/>
          <w:sz w:val="32"/>
          <w:szCs w:val="32"/>
        </w:rPr>
        <w:t>年公务接待费主要用于校企合作交流活动等方面。</w:t>
      </w:r>
    </w:p>
    <w:p>
      <w:pPr>
        <w:spacing w:line="540" w:lineRule="exact"/>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 xml:space="preserve">   </w:t>
      </w: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36.68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比2024年预算数</w:t>
      </w:r>
      <w:r>
        <w:rPr>
          <w:rFonts w:hint="eastAsia" w:ascii="仿宋_GB2312" w:eastAsia="仿宋_GB2312"/>
          <w:color w:val="auto"/>
          <w:sz w:val="32"/>
          <w:szCs w:val="32"/>
          <w:u w:val="none"/>
          <w:lang w:val="en-US" w:eastAsia="zh-CN"/>
        </w:rPr>
        <w:t>0万元</w:t>
      </w:r>
      <w:bookmarkStart w:id="0" w:name="_GoBack"/>
      <w:bookmarkEnd w:id="0"/>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17.98万元，增加的主要原因是新增一辆公务用车购置经费</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18.7</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val="en-US" w:eastAsia="zh-CN"/>
        </w:rPr>
        <w:t>9.7</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18.7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持平。</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2025年北京市工艺美术高级技工学校</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225.53</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33.85</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191.68</w:t>
      </w:r>
      <w:r>
        <w:rPr>
          <w:rFonts w:hint="eastAsia" w:ascii="仿宋_GB2312" w:eastAsia="仿宋_GB2312"/>
          <w:color w:val="auto"/>
          <w:sz w:val="32"/>
          <w:szCs w:val="32"/>
          <w:u w:val="none"/>
        </w:rPr>
        <w:t>万元。</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（二）政府购买服务预算说明</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lang w:eastAsia="zh-CN"/>
        </w:rPr>
        <w:t>本单位</w:t>
      </w:r>
      <w:r>
        <w:rPr>
          <w:rFonts w:hint="eastAsia" w:ascii="仿宋_GB2312" w:eastAsia="仿宋_GB2312"/>
          <w:sz w:val="32"/>
          <w:szCs w:val="32"/>
          <w:lang w:eastAsia="zh-CN"/>
        </w:rPr>
        <w:t>2025</w:t>
      </w:r>
      <w:r>
        <w:rPr>
          <w:rFonts w:hint="eastAsia" w:ascii="仿宋_GB2312" w:hAnsi="Times New Roman" w:eastAsia="仿宋_GB2312"/>
          <w:sz w:val="32"/>
          <w:szCs w:val="32"/>
        </w:rPr>
        <w:t>年</w:t>
      </w:r>
      <w:r>
        <w:rPr>
          <w:rFonts w:hint="eastAsia" w:ascii="仿宋_GB2312" w:eastAsia="仿宋_GB2312"/>
          <w:sz w:val="32"/>
          <w:szCs w:val="32"/>
          <w:lang w:eastAsia="zh-CN"/>
        </w:rPr>
        <w:t>无</w:t>
      </w:r>
      <w:r>
        <w:rPr>
          <w:rFonts w:hint="eastAsia" w:ascii="仿宋_GB2312" w:hAnsi="Times New Roman" w:eastAsia="仿宋_GB2312"/>
          <w:sz w:val="32"/>
          <w:szCs w:val="32"/>
        </w:rPr>
        <w:t>政府购买服务预算。</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（三）机关运行经费说明</w:t>
      </w:r>
    </w:p>
    <w:p>
      <w:pPr>
        <w:spacing w:line="560" w:lineRule="exact"/>
        <w:ind w:firstLine="640" w:firstLineChars="200"/>
        <w:rPr>
          <w:rFonts w:hint="eastAsia" w:ascii="仿宋_GB2312" w:eastAsia="仿宋_GB2312"/>
          <w:color w:val="auto"/>
          <w:sz w:val="32"/>
          <w:szCs w:val="32"/>
          <w:u w:val="none"/>
        </w:rPr>
      </w:pPr>
      <w:r>
        <w:rPr>
          <w:rFonts w:hint="eastAsia" w:ascii="仿宋_GB2312" w:hAnsi="Times New Roman" w:eastAsia="仿宋_GB2312"/>
          <w:sz w:val="32"/>
          <w:szCs w:val="32"/>
        </w:rPr>
        <w:t>本单位</w:t>
      </w:r>
      <w:r>
        <w:rPr>
          <w:rFonts w:hint="eastAsia" w:ascii="仿宋_GB2312" w:eastAsia="仿宋_GB2312"/>
          <w:sz w:val="32"/>
          <w:szCs w:val="32"/>
          <w:lang w:eastAsia="zh-CN"/>
        </w:rPr>
        <w:t>2025</w:t>
      </w:r>
      <w:r>
        <w:rPr>
          <w:rFonts w:hint="eastAsia" w:ascii="仿宋_GB2312" w:hAnsi="Times New Roman" w:eastAsia="仿宋_GB2312"/>
          <w:sz w:val="32"/>
          <w:szCs w:val="32"/>
        </w:rPr>
        <w:t>年无机关运行经费预算。</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楷体_GB2312" w:eastAsia="楷体_GB2312" w:cs="楷体_GB2312"/>
          <w:color w:val="auto"/>
          <w:sz w:val="32"/>
          <w:szCs w:val="32"/>
          <w:u w:val="none"/>
          <w:lang w:val="en-US"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北京市工艺美术高级技工学校</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20</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20</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2656.05</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r>
        <w:rPr>
          <w:rFonts w:hint="eastAsia" w:ascii="楷体_GB2312" w:eastAsia="楷体_GB2312" w:cs="楷体_GB2312"/>
          <w:color w:val="auto"/>
          <w:sz w:val="32"/>
          <w:szCs w:val="32"/>
          <w:u w:val="none"/>
          <w:lang w:val="en-US" w:eastAsia="zh-CN"/>
        </w:rPr>
        <w:t xml:space="preserve"> 。</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ind w:firstLine="600"/>
        <w:rPr>
          <w:rFonts w:ascii="仿宋_GB2312" w:hAnsi="Times New Roman" w:eastAsia="仿宋_GB2312"/>
          <w:sz w:val="32"/>
          <w:szCs w:val="32"/>
        </w:rPr>
      </w:pPr>
      <w:r>
        <w:rPr>
          <w:rFonts w:hint="eastAsia" w:ascii="仿宋_GB2312" w:hAnsi="Times New Roman" w:eastAsia="仿宋_GB2312"/>
          <w:sz w:val="32"/>
          <w:szCs w:val="32"/>
        </w:rPr>
        <w:t>本单位</w:t>
      </w:r>
      <w:r>
        <w:rPr>
          <w:rFonts w:hint="eastAsia" w:ascii="仿宋_GB2312" w:eastAsia="仿宋_GB2312"/>
          <w:sz w:val="32"/>
          <w:szCs w:val="32"/>
          <w:lang w:eastAsia="zh-CN"/>
        </w:rPr>
        <w:t>2025</w:t>
      </w:r>
      <w:r>
        <w:rPr>
          <w:rFonts w:hint="eastAsia" w:ascii="仿宋_GB2312" w:hAnsi="Times New Roman" w:eastAsia="仿宋_GB2312"/>
          <w:sz w:val="32"/>
          <w:szCs w:val="32"/>
        </w:rPr>
        <w:t>年无重点行政事业性收费。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本单位</w:t>
      </w:r>
      <w:r>
        <w:rPr>
          <w:rFonts w:hint="eastAsia" w:ascii="仿宋_GB2312" w:eastAsia="仿宋_GB2312"/>
          <w:sz w:val="32"/>
          <w:szCs w:val="32"/>
          <w:lang w:eastAsia="zh-CN"/>
        </w:rPr>
        <w:t>2025</w:t>
      </w:r>
      <w:r>
        <w:rPr>
          <w:rFonts w:hint="eastAsia" w:ascii="仿宋_GB2312" w:hAnsi="Times New Roman" w:eastAsia="仿宋_GB2312"/>
          <w:sz w:val="32"/>
          <w:szCs w:val="32"/>
        </w:rPr>
        <w:t>年无国有资本经营预算财政拨款安排的预算。</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40" w:lineRule="exact"/>
        <w:ind w:firstLine="640" w:firstLineChars="200"/>
        <w:rPr>
          <w:rFonts w:hint="eastAsia" w:ascii="仿宋_GB2312" w:eastAsia="仿宋_GB2312"/>
          <w:color w:val="000000"/>
          <w:sz w:val="32"/>
          <w:szCs w:val="32"/>
          <w:u w:val="none"/>
          <w:lang w:val="en-US" w:eastAsia="zh-CN"/>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北京市工艺美术高级技工学校</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7</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181.1</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37</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3331.77</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2025年预算安排中，购置单位价值50万元以上的设备0台（套），共计0万元。</w:t>
      </w:r>
    </w:p>
    <w:p>
      <w:pPr>
        <w:spacing w:line="560" w:lineRule="exact"/>
        <w:rPr>
          <w:rFonts w:hint="eastAsia" w:ascii="仿宋_GB2312" w:eastAsia="仿宋_GB2312"/>
          <w:color w:val="000000"/>
          <w:spacing w:val="-2"/>
          <w:sz w:val="32"/>
          <w:szCs w:val="32"/>
          <w:u w:val="none"/>
          <w:lang w:val="en-US"/>
        </w:rPr>
      </w:pPr>
      <w:r>
        <w:rPr>
          <w:rFonts w:hint="eastAsia" w:ascii="楷体_GB2312" w:eastAsia="楷体_GB2312"/>
          <w:color w:val="000000"/>
          <w:sz w:val="32"/>
          <w:szCs w:val="32"/>
          <w:u w:val="none"/>
          <w:lang w:val="en-US" w:eastAsia="zh-CN"/>
        </w:rPr>
        <w:t xml:space="preserve">    </w:t>
      </w:r>
      <w:r>
        <w:rPr>
          <w:rFonts w:hint="eastAsia" w:ascii="黑体" w:eastAsia="黑体"/>
          <w:color w:val="000000"/>
          <w:sz w:val="32"/>
          <w:szCs w:val="32"/>
          <w:u w:val="none"/>
        </w:rPr>
        <w:t>六、名词解释</w:t>
      </w:r>
      <w:r>
        <w:rPr>
          <w:rFonts w:hint="eastAsia" w:ascii="仿宋_GB2312" w:eastAsia="仿宋_GB2312"/>
          <w:color w:val="000000"/>
          <w:sz w:val="32"/>
          <w:szCs w:val="32"/>
          <w:u w:val="none"/>
          <w:lang w:val="en-US" w:eastAsia="zh-CN"/>
        </w:rPr>
        <w:t xml:space="preserve"> </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pPr>
        <w:autoSpaceDE w:val="0"/>
        <w:autoSpaceDN w:val="0"/>
        <w:adjustRightInd w:val="0"/>
        <w:spacing w:line="560" w:lineRule="exact"/>
        <w:jc w:val="left"/>
        <w:rPr>
          <w:rFonts w:hint="eastAsia" w:ascii="方正小标宋简体" w:eastAsia="方正小标宋简体"/>
          <w:color w:val="000000"/>
          <w:sz w:val="36"/>
          <w:szCs w:val="36"/>
          <w:u w:val="none"/>
        </w:rPr>
      </w:pP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北京市工艺美术高级技工学校2025年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spacing w:line="560" w:lineRule="exact"/>
        <w:rPr>
          <w:rFonts w:hint="eastAsia" w:ascii="仿宋_GB2312" w:eastAsia="仿宋_GB2312"/>
          <w:color w:val="000000"/>
          <w:sz w:val="32"/>
          <w:szCs w:val="32"/>
          <w:u w:val="none"/>
        </w:rPr>
      </w:pPr>
    </w:p>
    <w:p>
      <w:pPr>
        <w:rPr>
          <w:rFonts w:hint="eastAsia" w:ascii="仿宋_GB2312" w:eastAsia="仿宋_GB2312"/>
          <w:sz w:val="32"/>
          <w:szCs w:val="32"/>
          <w:u w:val="none"/>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Liberation Sans">
    <w:altName w:val="微软雅黑"/>
    <w:panose1 w:val="00000000000000000000"/>
    <w:charset w:val="00"/>
    <w:family w:val="swiss"/>
    <w:pitch w:val="default"/>
    <w:sig w:usb0="00000000" w:usb1="00000000" w:usb2="00000000" w:usb3="00000000" w:csb0="00040001" w:csb1="00000000"/>
  </w:font>
  <w:font w:name="Noto Sans CJK SC Regular">
    <w:altName w:val="宋体"/>
    <w:panose1 w:val="00000000000000000000"/>
    <w:charset w:val="86"/>
    <w:family w:val="auto"/>
    <w:pitch w:val="default"/>
    <w:sig w:usb0="00000000" w:usb1="00000000" w:usb2="00000016" w:usb3="00000000" w:csb0="602E0107"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W&#10;OS/dtwEAAFQDAAAOAAAAAAAAAAEAIAAAAB4BAABkcnMvZTJvRG9jLnhtbFBLBQYAAAAABgAGAFkB&#10;AABHBQAAAAA=&#10;">
              <v:fill on="f" focussize="0,0"/>
              <v:stroke on="f"/>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2433D6"/>
    <w:rsid w:val="05031903"/>
    <w:rsid w:val="05D90AD9"/>
    <w:rsid w:val="070D5CA6"/>
    <w:rsid w:val="09A50849"/>
    <w:rsid w:val="0F0A5741"/>
    <w:rsid w:val="0F3A48DC"/>
    <w:rsid w:val="100823FF"/>
    <w:rsid w:val="13F04DCF"/>
    <w:rsid w:val="15947411"/>
    <w:rsid w:val="17A032D5"/>
    <w:rsid w:val="1B5A2528"/>
    <w:rsid w:val="22844A40"/>
    <w:rsid w:val="23AA5453"/>
    <w:rsid w:val="26E44E7E"/>
    <w:rsid w:val="2A2E13C7"/>
    <w:rsid w:val="31693123"/>
    <w:rsid w:val="340F6C09"/>
    <w:rsid w:val="352D37A0"/>
    <w:rsid w:val="37323CDE"/>
    <w:rsid w:val="39493ECD"/>
    <w:rsid w:val="40311886"/>
    <w:rsid w:val="498427A8"/>
    <w:rsid w:val="4B5730CD"/>
    <w:rsid w:val="54727491"/>
    <w:rsid w:val="5AB92A6C"/>
    <w:rsid w:val="5AC55857"/>
    <w:rsid w:val="6C003BD5"/>
    <w:rsid w:val="6D77667F"/>
    <w:rsid w:val="706B20D4"/>
    <w:rsid w:val="799B296E"/>
    <w:rsid w:val="7A2433D6"/>
    <w:rsid w:val="7D070C6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Lbls>
            <c:dLbl>
              <c:idx val="0"/>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94.93</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0.0198651577173128"/>
                  <c:y val="-0.00185758513931889"/>
                </c:manualLayout>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2.35</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440645316638575"/>
                  <c:y val="-0.0792569659442725"/>
                </c:manualLayout>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1.48</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198651577173128"/>
                  <c:y val="0.00577915376676987"/>
                </c:manualLayout>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0.62</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0.62</a:t>
                    </a:r>
                    <a:r>
                      <a:t>%</a:t>
                    </a:r>
                  </a:p>
                </c:rich>
              </c:tx>
              <c:dLblPos val="bestFit"/>
              <c:showLegendKey val="0"/>
              <c:showVal val="0"/>
              <c:showCatName val="0"/>
              <c:showSerName val="0"/>
              <c:showPercent val="1"/>
              <c:showBubbleSize val="0"/>
              <c:extLs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一般公共预算财拨收入</c:v>
                </c:pt>
                <c:pt idx="1">
                  <c:v>财政专户管理资金收入</c:v>
                </c:pt>
                <c:pt idx="2">
                  <c:v>事业收入</c:v>
                </c:pt>
                <c:pt idx="3">
                  <c:v>其他收入</c:v>
                </c:pt>
                <c:pt idx="4">
                  <c:v>上年结转结余</c:v>
                </c:pt>
              </c:strCache>
            </c:strRef>
          </c:cat>
          <c:val>
            <c:numRef>
              <c:f>Sheet1!$B$2:$B$6</c:f>
              <c:numCache>
                <c:formatCode>0.00%</c:formatCode>
                <c:ptCount val="5"/>
                <c:pt idx="0">
                  <c:v>0.9493</c:v>
                </c:pt>
                <c:pt idx="1">
                  <c:v>0.0235</c:v>
                </c:pt>
                <c:pt idx="2">
                  <c:v>0.0148</c:v>
                </c:pt>
                <c:pt idx="3">
                  <c:v>0.0062</c:v>
                </c:pt>
                <c:pt idx="4">
                  <c:v>0.0062</c:v>
                </c:pt>
              </c:numCache>
            </c:numRef>
          </c:val>
        </c:ser>
        <c:dLbls>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1"/>
                <c:order val="1"/>
                <c:tx>
                  <c:strRef>
                    <c:extLst>
                      <c:ext uri="{02D57815-91ED-43cb-92C2-25804820EDAC}">
                        <c15:formulaRef>
                          <c15:sqref>Sheet1!$C$1</c15:sqref>
                        </c15:formulaRef>
                      </c:ext>
                    </c:extLst>
                    <c:strCache>
                      <c:ptCount val="1"/>
                      <c:pt idx="0">
                        <c:v>列1</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extLst>
                      <c:ext uri="{02D57815-91ED-43cb-92C2-25804820EDAC}">
                        <c15:fullRef>
                          <c15:sqref/>
                        </c15:fullRef>
                        <c15:formulaRef>
                          <c15:sqref>Sheet1!$A$2:$A$6</c15:sqref>
                        </c15:formulaRef>
                      </c:ext>
                    </c:extLst>
                    <c:strCache>
                      <c:ptCount val="5"/>
                      <c:pt idx="0">
                        <c:v>一般公共预算财拨收入</c:v>
                      </c:pt>
                      <c:pt idx="1">
                        <c:v>财政专户管理资金收入</c:v>
                      </c:pt>
                      <c:pt idx="2">
                        <c:v>事业收入</c:v>
                      </c:pt>
                      <c:pt idx="3">
                        <c:v>其他收入</c:v>
                      </c:pt>
                      <c:pt idx="4">
                        <c:v>上年结转结余</c:v>
                      </c:pt>
                    </c:strCache>
                  </c:strRef>
                </c:cat>
                <c:val>
                  <c:numRef>
                    <c:extLst>
                      <c:ext uri="{02D57815-91ED-43cb-92C2-25804820EDAC}">
                        <c15:formulaRef>
                          <c15:sqref>Sheet1!$C$2:$C$6</c15:sqref>
                        </c15:formulaRef>
                      </c:ext>
                    </c:extLst>
                    <c:numCache>
                      <c:formatCode>General</c:formatCode>
                      <c:ptCount val="5"/>
                    </c:numCache>
                  </c:numRef>
                </c:val>
              </c15:ser>
            </c15:filteredPieSeries>
          </c:ext>
        </c:extLst>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0"/>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金额</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dLbl>
              <c:idx val="0"/>
              <c:layout/>
              <c:tx>
                <c:rich>
                  <a:bodyPr rot="0" spcFirstLastPara="1"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67.13</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1"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t>3</a:t>
                    </a:r>
                    <a:r>
                      <a:rPr lang="en-US" altLang="zh-CN"/>
                      <a:t>2.87</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0.6713</c:v>
                </c:pt>
                <c:pt idx="1">
                  <c:v>0.3287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2024-02-21T03:23:00Z</dcterms:created>
  <dc:creator>DELL</dc:creator>
  <cp:lastModifiedBy>HP</cp:lastModifiedBy>
  <dcterms:modified xsi:type="dcterms:W3CDTF">2025-02-10T13:38:30Z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