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北京</w:t>
      </w:r>
      <w:r>
        <w:rPr>
          <w:rFonts w:hint="eastAsia" w:ascii="方正小标宋简体" w:eastAsia="方正小标宋简体"/>
          <w:color w:val="000000"/>
          <w:sz w:val="36"/>
          <w:szCs w:val="36"/>
          <w:lang w:val="en-US" w:eastAsia="zh-CN"/>
        </w:rPr>
        <w:t>纺织控股有限责任公司老干部活动站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202</w:t>
      </w:r>
      <w:r>
        <w:rPr>
          <w:rFonts w:ascii="方正小标宋简体" w:eastAsia="方正小标宋简体"/>
          <w:color w:val="000000"/>
          <w:sz w:val="36"/>
          <w:szCs w:val="36"/>
        </w:rPr>
        <w:t>1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年财政预算信息</w:t>
      </w:r>
    </w:p>
    <w:p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32"/>
          <w:szCs w:val="32"/>
        </w:rPr>
        <w:t>目   录</w:t>
      </w:r>
    </w:p>
    <w:p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年度单位预算情况说明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一、单位基本情况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年收入及支出总体情况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三、主要支出情况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四、单位“三公”经费财政拨款预算说明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六、名词解释</w:t>
      </w:r>
    </w:p>
    <w:p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年度单位预算报表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一、收支总表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二、收入总表    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三、支出总表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四、政府采购预算明细表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五、财政拨款收支总表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    六、一般公共预算财政拨款支出表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七、一般公共预算财政拨款基本支出表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八、一般公共预算财政拨款项目支出表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九、政府性基金预算财政拨款支出表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576" w:firstLineChars="2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  <w:t>十一、财政拨款（含一般公共预算和政府性基金预算）</w:t>
      </w: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“三公”经费支出表</w:t>
      </w: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  <w:t>十二、政府购买服务预算财政拨款明细表</w:t>
      </w: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exact"/>
        <w:ind w:firstLine="568" w:firstLineChars="200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第一部分  2021年北京</w:t>
      </w:r>
      <w:r>
        <w:rPr>
          <w:rFonts w:hint="eastAsia" w:ascii="方正小标宋简体" w:eastAsia="方正小标宋简体"/>
          <w:color w:val="000000"/>
          <w:sz w:val="36"/>
          <w:szCs w:val="36"/>
          <w:lang w:val="en-US" w:eastAsia="zh-CN"/>
        </w:rPr>
        <w:t>纺织控股有限责任公司老干部活动站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预算情况说明</w:t>
      </w:r>
    </w:p>
    <w:p>
      <w:pPr>
        <w:spacing w:line="360" w:lineRule="auto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一、单位基本情况</w:t>
      </w:r>
    </w:p>
    <w:p>
      <w:pPr>
        <w:ind w:firstLine="320" w:firstLineChars="10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（一）单位机构设置、职责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北京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纺织控股有限责任公司老干部活动站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（以下简称“本单位”）成立于198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年。单位性质：差额拨款事业单位；预算代码：116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207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；主管部门：北京时尚控股有限责任公司；法定代表人：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马广新；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单位地址：北京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市朝阳区十里堡东里126号楼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。</w:t>
      </w:r>
    </w:p>
    <w:p>
      <w:pPr>
        <w:ind w:firstLine="555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本单位主要职能为：负责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系统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离退休干部政治、生活待遇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落实工作；指导离退休党支部建设和老干部思想政治建设工作；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负责组织系统离退休干部文体娱乐等活动；</w:t>
      </w:r>
      <w:r>
        <w:rPr>
          <w:rFonts w:hint="eastAsia" w:ascii="仿宋" w:hAnsi="仿宋" w:eastAsia="仿宋" w:cs="仿宋_GB2312"/>
          <w:sz w:val="32"/>
          <w:szCs w:val="32"/>
        </w:rPr>
        <w:t>加强对改制、破产企业离休干部的服务管理工作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。 </w:t>
      </w:r>
    </w:p>
    <w:p>
      <w:pPr>
        <w:ind w:firstLine="480" w:firstLineChars="15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（二）人员构成情况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北京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纺织控股有限责任公司老干部活动站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事业编制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人，实际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人；聘用人员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人。</w:t>
      </w:r>
    </w:p>
    <w:p>
      <w:pPr>
        <w:numPr>
          <w:ilvl w:val="0"/>
          <w:numId w:val="1"/>
        </w:numPr>
        <w:ind w:firstLine="480" w:firstLineChars="15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本预算年度的主要工作任务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zh-CN"/>
        </w:rPr>
        <w:t>2021年是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中国共产党建党100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zh-CN"/>
        </w:rPr>
        <w:t>周年，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是“十四五”的开局之年，是时尚控股公司发展腾飞的关键之年。本单位的主要任务是：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zh-CN"/>
        </w:rPr>
        <w:t>坚持以习近平新时代中国特色社会主义思想为指导，全面贯彻党的十九大和十九届二中、三中、四中、五中全会精神，贯彻落实习近平总书记关于老干部工作重要指示和全国、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全市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zh-CN"/>
        </w:rPr>
        <w:t>老干部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工作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zh-CN"/>
        </w:rPr>
        <w:t>会议精神，增强“四个意识”、坚定“四个自信”、做到“两个维护”，围绕把握新发展阶段、贯彻新发展理念、构建新发展格局、推动高质量发展，全面贯彻新时代党的建设总要求和新时代党的组织路线，坚持稳中求进工作总基调，坚持精准服务理念，坚持求真务实作风，以让党放心、让老同志满意为工作目标，以信息化、精准化、规范化建设为抓手，推进党建引领老干部工作向基层延伸，抓好离退休干部党的建设、服务管理、发挥作用，推动老干部工作高质量发展，以优异成绩庆祝建党100周年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，助力控股公司时尚产业新发展。</w:t>
      </w:r>
    </w:p>
    <w:p>
      <w:pPr>
        <w:widowControl/>
        <w:shd w:val="clear" w:color="auto" w:fill="FFFFFF"/>
        <w:spacing w:line="600" w:lineRule="atLeast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二、2021年收入及支出总体情况</w:t>
      </w:r>
    </w:p>
    <w:p>
      <w:pPr>
        <w:ind w:firstLine="555"/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（一）收入预算情况说明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2021年收入预算50.19万元，比2020年47.95万元增加2.24万元，增长4.67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%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。其中：财政拨款24.19万元,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2020年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持平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；统筹使用结余资金安排预算算10.3万元,比2020年0万元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增加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10.3万元，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增加的主要原因是使用事业基金支出预算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；其他资金15.7万元,比2020年23.76万元减少8.06万元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减少的主要原因是银行利息的减少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调整基本支出。</w:t>
      </w:r>
    </w:p>
    <w:p>
      <w:pPr>
        <w:ind w:firstLine="555"/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（二）支出预算情况说明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（一）基本支出预算50.19万元，占总支出预算100%，比2020年47.95万元增加2.24万元，增长4.67%。基本经费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的增加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，主要原因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结合自身发展规划，调整基本支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出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。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（二）项目支出预算0万元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（三）上缴上级支出0万元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（四）事业单位经营支出0万元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（五）对附属单位补助支出0万元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三、主要支出情况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本单位2021年无项目支出。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四、单位“三公”经费财政拨款预算说明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2021年"三公经费"财政拨款预算3.58万元，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2020年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持平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。其中：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1、因公出国（境）费用。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本单位2021年无因公出国（境）费用支出。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2、公务接待费。2021年预算数0万元，比2020年预算数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万元减少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万元，主要原因：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严格控制公务接待数量、规模和接待标准。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3、公务用车购置和运行维护费。2021年预算数3.58万元，其中，公务用车购置费2021年预算数0万元，比2020预算数0万元减少0万元；公务用车运行维护费2021年预算数3.58万元，其中：公务用车加油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1.15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万元，公务用车维修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1.43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万元，公务用车保险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1.00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万元，其他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万元。与2020年持平。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五、其他情况说明</w:t>
      </w:r>
    </w:p>
    <w:p>
      <w:pPr>
        <w:spacing w:line="560" w:lineRule="exact"/>
        <w:ind w:firstLine="480" w:firstLineChars="15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（一）政府采购预算说明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2021年北京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纺织控股有限责任公司老干部活动站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单位政府采购预算总额10.23万元，其中：政府采购货物预算万元，政府采购工程预算0万元，政府采购服务预算10.23万元。</w:t>
      </w:r>
    </w:p>
    <w:p>
      <w:pPr>
        <w:spacing w:line="560" w:lineRule="exact"/>
        <w:ind w:firstLine="480" w:firstLineChars="15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（二）政府购买服务预算说明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本单位2021年无政府购买服务预算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480" w:firstLineChars="15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（三）机关运行经费说明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本单位不在机关运行经费统计范围之内。</w:t>
      </w:r>
    </w:p>
    <w:p>
      <w:pPr>
        <w:spacing w:line="560" w:lineRule="exact"/>
        <w:ind w:firstLine="480" w:firstLineChars="15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（四）项目支出绩效目标情况说明</w:t>
      </w:r>
    </w:p>
    <w:p>
      <w:pPr>
        <w:ind w:firstLine="555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本单位2021年无项目支出绩效目标。</w:t>
      </w:r>
    </w:p>
    <w:p>
      <w:pPr>
        <w:spacing w:line="560" w:lineRule="exact"/>
        <w:ind w:firstLine="480" w:firstLineChars="15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（五）重点行政事业性收费情况说明</w:t>
      </w:r>
    </w:p>
    <w:p>
      <w:pPr>
        <w:spacing w:line="560" w:lineRule="exact"/>
        <w:ind w:firstLine="480" w:firstLineChars="15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本单位2021年无重点行政事业性收费。</w:t>
      </w:r>
    </w:p>
    <w:p>
      <w:pPr>
        <w:spacing w:line="560" w:lineRule="exact"/>
        <w:ind w:firstLine="480" w:firstLineChars="15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（六）国有资本经营预算财政拨款情况说明</w:t>
      </w:r>
    </w:p>
    <w:p>
      <w:pPr>
        <w:spacing w:line="560" w:lineRule="exact"/>
        <w:ind w:firstLine="480" w:firstLineChars="15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本单位2021年无国有资本经营预算财政拨款安排的预算。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（七）国有资产占用情况说明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截至2020年底，本单位共有车辆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台，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45.57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万元；单位价值50万元以上的通用设备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台（套）、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万元，单位价值100万元以上的专用设备0台（套）、0万元。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六、名词解释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基本支出：指为保障机构正常运转、完成日常工作任务而发生的人员支出和公用支出。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color w:val="333333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“三公”经费财政拨款预算数：指本单位当年单位预算安排的因公出国（境）费用、公务接待费、公务用车购置和运行维护费预算数。</w:t>
      </w:r>
    </w:p>
    <w:p>
      <w:pPr>
        <w:spacing w:line="560" w:lineRule="exact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spacing w:line="560" w:lineRule="exact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第二部分  2021年单位预算报表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/>
          <w:color w:val="000000"/>
          <w:sz w:val="36"/>
          <w:szCs w:val="36"/>
        </w:rPr>
      </w:pPr>
    </w:p>
    <w:p>
      <w:pPr>
        <w:rPr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附件：北京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纺织控股有限责任公司老干部活动站</w:t>
      </w:r>
      <w:r>
        <w:rPr>
          <w:rFonts w:hint="eastAsia" w:ascii="仿宋_GB2312" w:eastAsia="仿宋_GB2312"/>
          <w:color w:val="000000"/>
          <w:sz w:val="28"/>
          <w:szCs w:val="28"/>
        </w:rPr>
        <w:t>2021年度单位预算报表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7</w:t>
    </w:r>
    <w:r>
      <w:rPr>
        <w:rFonts w:ascii="宋体" w:hAnsi="宋体"/>
        <w:sz w:val="28"/>
        <w:szCs w:val="28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1CEE0"/>
    <w:multiLevelType w:val="singleLevel"/>
    <w:tmpl w:val="6041CEE0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3542B"/>
    <w:rsid w:val="00023DE1"/>
    <w:rsid w:val="00035812"/>
    <w:rsid w:val="000B3CE7"/>
    <w:rsid w:val="000F3EF6"/>
    <w:rsid w:val="0014236C"/>
    <w:rsid w:val="00143A78"/>
    <w:rsid w:val="00150981"/>
    <w:rsid w:val="001516C4"/>
    <w:rsid w:val="0015363C"/>
    <w:rsid w:val="0015457E"/>
    <w:rsid w:val="00157FF3"/>
    <w:rsid w:val="00161F90"/>
    <w:rsid w:val="00191226"/>
    <w:rsid w:val="0019531B"/>
    <w:rsid w:val="001964B0"/>
    <w:rsid w:val="00210DE5"/>
    <w:rsid w:val="00230B97"/>
    <w:rsid w:val="0023764F"/>
    <w:rsid w:val="002422E4"/>
    <w:rsid w:val="002541C5"/>
    <w:rsid w:val="0027678F"/>
    <w:rsid w:val="0029321D"/>
    <w:rsid w:val="002B2492"/>
    <w:rsid w:val="002D066E"/>
    <w:rsid w:val="002E1028"/>
    <w:rsid w:val="00321DD9"/>
    <w:rsid w:val="00323AC4"/>
    <w:rsid w:val="0033404B"/>
    <w:rsid w:val="00346FBE"/>
    <w:rsid w:val="00373F45"/>
    <w:rsid w:val="00374207"/>
    <w:rsid w:val="00402A82"/>
    <w:rsid w:val="004512CE"/>
    <w:rsid w:val="00471CE7"/>
    <w:rsid w:val="004A1265"/>
    <w:rsid w:val="004B05A8"/>
    <w:rsid w:val="004C6864"/>
    <w:rsid w:val="005013EA"/>
    <w:rsid w:val="005025DB"/>
    <w:rsid w:val="00571C3F"/>
    <w:rsid w:val="00590693"/>
    <w:rsid w:val="005B0059"/>
    <w:rsid w:val="005D2DBD"/>
    <w:rsid w:val="005E5A66"/>
    <w:rsid w:val="00635CBD"/>
    <w:rsid w:val="00654509"/>
    <w:rsid w:val="006960C4"/>
    <w:rsid w:val="00696B01"/>
    <w:rsid w:val="006E2DEB"/>
    <w:rsid w:val="006F343A"/>
    <w:rsid w:val="00710AD5"/>
    <w:rsid w:val="0073574C"/>
    <w:rsid w:val="00763CFC"/>
    <w:rsid w:val="0079211A"/>
    <w:rsid w:val="007B5173"/>
    <w:rsid w:val="007E01FB"/>
    <w:rsid w:val="0081288C"/>
    <w:rsid w:val="008136D7"/>
    <w:rsid w:val="008160DE"/>
    <w:rsid w:val="008236A1"/>
    <w:rsid w:val="00833B1B"/>
    <w:rsid w:val="0083542B"/>
    <w:rsid w:val="00852E3A"/>
    <w:rsid w:val="00882B85"/>
    <w:rsid w:val="0089797D"/>
    <w:rsid w:val="009043A7"/>
    <w:rsid w:val="00941E2C"/>
    <w:rsid w:val="009425B5"/>
    <w:rsid w:val="009538C1"/>
    <w:rsid w:val="00967F0F"/>
    <w:rsid w:val="009924A6"/>
    <w:rsid w:val="009E2D15"/>
    <w:rsid w:val="009E4AD8"/>
    <w:rsid w:val="009F4633"/>
    <w:rsid w:val="00A32B27"/>
    <w:rsid w:val="00A560C7"/>
    <w:rsid w:val="00A7474F"/>
    <w:rsid w:val="00A867F7"/>
    <w:rsid w:val="00AB3AC7"/>
    <w:rsid w:val="00AF31B8"/>
    <w:rsid w:val="00B00F61"/>
    <w:rsid w:val="00B073E0"/>
    <w:rsid w:val="00B30AF3"/>
    <w:rsid w:val="00B32E28"/>
    <w:rsid w:val="00B45A1A"/>
    <w:rsid w:val="00B5418F"/>
    <w:rsid w:val="00B60415"/>
    <w:rsid w:val="00B750B5"/>
    <w:rsid w:val="00BA12E2"/>
    <w:rsid w:val="00BD60A8"/>
    <w:rsid w:val="00C000F1"/>
    <w:rsid w:val="00C12A7B"/>
    <w:rsid w:val="00C564CD"/>
    <w:rsid w:val="00C61F8D"/>
    <w:rsid w:val="00C643DD"/>
    <w:rsid w:val="00C95827"/>
    <w:rsid w:val="00CB5F08"/>
    <w:rsid w:val="00CD09B2"/>
    <w:rsid w:val="00CF3FED"/>
    <w:rsid w:val="00D02214"/>
    <w:rsid w:val="00D06CE9"/>
    <w:rsid w:val="00D16603"/>
    <w:rsid w:val="00D4560E"/>
    <w:rsid w:val="00D93719"/>
    <w:rsid w:val="00DB0EA4"/>
    <w:rsid w:val="00E05A83"/>
    <w:rsid w:val="00E165B8"/>
    <w:rsid w:val="00E35892"/>
    <w:rsid w:val="00E36224"/>
    <w:rsid w:val="00E36D60"/>
    <w:rsid w:val="00EA3D45"/>
    <w:rsid w:val="00EE0C89"/>
    <w:rsid w:val="00EF44E9"/>
    <w:rsid w:val="00F07A2F"/>
    <w:rsid w:val="00F41CFF"/>
    <w:rsid w:val="00F502D3"/>
    <w:rsid w:val="00F623DF"/>
    <w:rsid w:val="00FE4357"/>
    <w:rsid w:val="00FF0109"/>
    <w:rsid w:val="0AF10515"/>
    <w:rsid w:val="12152E40"/>
    <w:rsid w:val="13776572"/>
    <w:rsid w:val="19085F14"/>
    <w:rsid w:val="1BF55ABE"/>
    <w:rsid w:val="28D04C5E"/>
    <w:rsid w:val="33591883"/>
    <w:rsid w:val="3D914D03"/>
    <w:rsid w:val="48BF17C2"/>
    <w:rsid w:val="4C134E6F"/>
    <w:rsid w:val="4C9C6A53"/>
    <w:rsid w:val="5ABD3E29"/>
    <w:rsid w:val="66524B07"/>
    <w:rsid w:val="6FE64D7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Droid Sans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Droid Sans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364</Words>
  <Characters>2078</Characters>
  <Lines>17</Lines>
  <Paragraphs>4</Paragraphs>
  <ScaleCrop>false</ScaleCrop>
  <LinksUpToDate>false</LinksUpToDate>
  <CharactersWithSpaces>2438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2021-02-22T05:53:00Z</dcterms:created>
  <dc:creator>刘伟奇</dc:creator>
  <cp:lastModifiedBy>weirong</cp:lastModifiedBy>
  <cp:lastPrinted>2021-02-22T06:51:00Z</cp:lastPrinted>
  <dcterms:modified xsi:type="dcterms:W3CDTF">2021-03-09T01:39:47Z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</Properties>
</file>