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eastAsia="方正小标宋简体"/>
          <w:color w:val="000000"/>
          <w:sz w:val="36"/>
          <w:szCs w:val="36"/>
        </w:rPr>
      </w:pPr>
      <w:r>
        <w:rPr>
          <w:rFonts w:hint="eastAsia" w:ascii="方正小标宋简体" w:eastAsia="方正小标宋简体"/>
          <w:color w:val="000000"/>
          <w:sz w:val="36"/>
          <w:szCs w:val="36"/>
        </w:rPr>
        <w:t>北京市毛麻丝织品质量监督检验站</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hint="eastAsia" w:ascii="仿宋_GB2312" w:eastAsia="仿宋_GB2312" w:cs="宋体"/>
          <w:color w:val="000000"/>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pPr>
    </w:p>
    <w:p>
      <w:pPr>
        <w:autoSpaceDE w:val="0"/>
        <w:autoSpaceDN w:val="0"/>
        <w:adjustRightInd w:val="0"/>
        <w:spacing w:line="560" w:lineRule="exact"/>
        <w:ind w:firstLine="640" w:firstLineChars="200"/>
        <w:jc w:val="left"/>
        <w:rPr>
          <w:rFonts w:hint="eastAsia"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第一部分  2021年北京市毛麻丝织品质量监督检验站预算情况说明</w:t>
      </w:r>
    </w:p>
    <w:p>
      <w:pPr>
        <w:spacing w:line="360" w:lineRule="auto"/>
        <w:rPr>
          <w:rFonts w:ascii="仿宋_GB2312" w:eastAsia="仿宋_GB2312"/>
          <w:color w:val="000000"/>
          <w:sz w:val="32"/>
          <w:szCs w:val="32"/>
        </w:rPr>
      </w:pP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一、单位基本情况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北京市毛麻丝织品质量监督检验站（以下简称“本单位”）是经北京市机构编制委员会办公室批准成立的差额拨款全民所有制事业单位，行政上隶属于北京时尚控股有限责任公司，业务由北京市质量技术监督局授权、中国合格评定国家认可委员会、国际羊毛局认可,是独立于产品开发、生产、销售的第三方公正检验机构。</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1．主要职能</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本单位主要业务职能是为保证产品质量提供检验保障、授权范围产品质量监督检验、授权范围产品质量仲裁检验与鉴定、产品质量委托检验、新产品样机样品委托定型实验、产品质量委托技术鉴定、产品技术标准委托检验、公证验货委托检验、在用产品安全性能与质量评价、产品继续使用性能与条件评价、政府委托产品。</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2．机构</w:t>
      </w:r>
      <w:r>
        <w:rPr>
          <w:rFonts w:hint="eastAsia" w:ascii="仿宋_GB2312" w:eastAsia="仿宋_GB2312"/>
          <w:color w:val="000000"/>
          <w:sz w:val="32"/>
          <w:szCs w:val="32"/>
          <w:lang w:val="en-US" w:eastAsia="zh-CN"/>
        </w:rPr>
        <w:t>设置</w:t>
      </w:r>
      <w:r>
        <w:rPr>
          <w:rFonts w:hint="eastAsia" w:ascii="仿宋_GB2312" w:eastAsia="仿宋_GB2312"/>
          <w:color w:val="000000"/>
          <w:sz w:val="32"/>
          <w:szCs w:val="32"/>
        </w:rPr>
        <w:t>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机构设置：站长室、站长室下设行政中心、业务中心、体系质保中心、检测中心、技术标准中心、后勤中心。</w:t>
      </w:r>
    </w:p>
    <w:p>
      <w:p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rPr>
        <w:t>3．人员</w:t>
      </w:r>
      <w:r>
        <w:rPr>
          <w:rFonts w:hint="eastAsia" w:ascii="仿宋_GB2312" w:eastAsia="仿宋_GB2312"/>
          <w:color w:val="000000"/>
          <w:sz w:val="32"/>
          <w:szCs w:val="32"/>
          <w:lang w:val="en-US" w:eastAsia="zh-CN"/>
        </w:rPr>
        <w:t>构成情况</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本单位</w:t>
      </w:r>
      <w:r>
        <w:rPr>
          <w:rFonts w:hint="eastAsia" w:ascii="仿宋_GB2312" w:eastAsia="仿宋_GB2312"/>
          <w:color w:val="000000"/>
          <w:sz w:val="32"/>
          <w:szCs w:val="32"/>
        </w:rPr>
        <w:t>事业编制28人，实际28人；聘用人员1</w:t>
      </w:r>
      <w:r>
        <w:rPr>
          <w:rFonts w:hint="eastAsia" w:ascii="仿宋_GB2312" w:eastAsia="仿宋_GB2312"/>
          <w:color w:val="000000"/>
          <w:sz w:val="32"/>
          <w:szCs w:val="32"/>
          <w:lang w:val="en-US" w:eastAsia="zh-CN"/>
        </w:rPr>
        <w:t>8</w:t>
      </w:r>
      <w:r>
        <w:rPr>
          <w:rFonts w:hint="eastAsia" w:ascii="仿宋_GB2312" w:eastAsia="仿宋_GB2312"/>
          <w:color w:val="000000"/>
          <w:sz w:val="32"/>
          <w:szCs w:val="32"/>
        </w:rPr>
        <w:t>人</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合计46人</w:t>
      </w:r>
      <w:r>
        <w:rPr>
          <w:rFonts w:hint="eastAsia" w:ascii="仿宋_GB2312" w:eastAsia="仿宋_GB2312"/>
          <w:color w:val="000000"/>
          <w:sz w:val="32"/>
          <w:szCs w:val="32"/>
        </w:rPr>
        <w:t>。</w:t>
      </w:r>
    </w:p>
    <w:p>
      <w:pPr>
        <w:spacing w:line="560" w:lineRule="exact"/>
        <w:ind w:firstLine="640" w:firstLineChars="200"/>
        <w:rPr>
          <w:rFonts w:hint="eastAsia" w:ascii="仿宋_GB2312" w:eastAsia="仿宋_GB2312"/>
          <w:color w:val="000000"/>
          <w:sz w:val="32"/>
          <w:szCs w:val="32"/>
        </w:rPr>
      </w:pPr>
      <w:r>
        <w:rPr>
          <w:rFonts w:hint="eastAsia" w:ascii="仿宋_GB2312" w:eastAsia="仿宋_GB2312"/>
          <w:color w:val="000000"/>
          <w:sz w:val="32"/>
          <w:szCs w:val="32"/>
        </w:rPr>
        <w:t xml:space="preserve"> 离退休人员26人，其中：离休0人，退休26人。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spacing w:line="560" w:lineRule="exact"/>
        <w:ind w:firstLine="640" w:firstLineChars="200"/>
        <w:rPr>
          <w:rFonts w:hint="default" w:ascii="仿宋_GB2312" w:eastAsia="仿宋_GB2312"/>
          <w:color w:val="000000"/>
          <w:sz w:val="32"/>
          <w:szCs w:val="32"/>
          <w:lang w:val="en-US" w:eastAsia="zh-CN"/>
        </w:rPr>
      </w:pPr>
      <w:r>
        <w:rPr>
          <w:rFonts w:hint="eastAsia" w:ascii="仿宋_GB2312" w:eastAsia="仿宋_GB2312"/>
          <w:color w:val="000000"/>
          <w:sz w:val="32"/>
          <w:szCs w:val="32"/>
        </w:rPr>
        <w:t>2021年收入预算1071.22万元，比2020年1074.16万元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减少2.94万元，下降0.27%。其中：财政拨款</w:t>
      </w:r>
      <w:r>
        <w:rPr>
          <w:rFonts w:hint="eastAsia" w:ascii="仿宋_GB2312" w:eastAsia="仿宋_GB2312"/>
          <w:color w:val="000000"/>
          <w:sz w:val="32"/>
          <w:szCs w:val="32"/>
          <w:lang w:val="en-US" w:eastAsia="zh-CN"/>
        </w:rPr>
        <w:t>302.25</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r>
        <w:rPr>
          <w:rFonts w:hint="eastAsia" w:ascii="仿宋_GB2312" w:eastAsia="仿宋_GB2312"/>
          <w:color w:val="000000"/>
          <w:sz w:val="32"/>
          <w:szCs w:val="32"/>
        </w:rPr>
        <w:t>与上年持平；统筹使用结余资金安排预算280</w:t>
      </w:r>
      <w:r>
        <w:rPr>
          <w:rFonts w:hint="eastAsia" w:ascii="仿宋_GB2312" w:eastAsia="仿宋_GB2312"/>
          <w:color w:val="000000"/>
          <w:sz w:val="32"/>
          <w:szCs w:val="32"/>
          <w:lang w:val="en-US" w:eastAsia="zh-CN"/>
        </w:rPr>
        <w:t>.00</w:t>
      </w:r>
      <w:r>
        <w:rPr>
          <w:rFonts w:hint="eastAsia" w:ascii="仿宋_GB2312" w:eastAsia="仿宋_GB2312"/>
          <w:color w:val="000000"/>
          <w:sz w:val="32"/>
          <w:szCs w:val="32"/>
        </w:rPr>
        <w:t>万元,比2020年增加</w:t>
      </w:r>
      <w:r>
        <w:rPr>
          <w:rFonts w:hint="eastAsia" w:ascii="仿宋_GB2312" w:eastAsia="仿宋_GB2312"/>
          <w:color w:val="000000"/>
          <w:sz w:val="32"/>
          <w:szCs w:val="32"/>
          <w:lang w:val="en-US" w:eastAsia="zh-CN"/>
        </w:rPr>
        <w:t>了</w:t>
      </w:r>
      <w:r>
        <w:rPr>
          <w:rFonts w:hint="eastAsia" w:ascii="仿宋_GB2312" w:eastAsia="仿宋_GB2312"/>
          <w:color w:val="000000"/>
          <w:sz w:val="32"/>
          <w:szCs w:val="32"/>
        </w:rPr>
        <w:t>280万元</w:t>
      </w:r>
      <w:r>
        <w:rPr>
          <w:rFonts w:hint="eastAsia" w:ascii="仿宋_GB2312" w:eastAsia="仿宋_GB2312"/>
          <w:color w:val="000000"/>
          <w:sz w:val="32"/>
          <w:szCs w:val="32"/>
          <w:lang w:eastAsia="zh-CN"/>
        </w:rPr>
        <w:t>，</w:t>
      </w:r>
      <w:r>
        <w:rPr>
          <w:rFonts w:hint="eastAsia" w:ascii="仿宋_GB2312" w:eastAsia="仿宋_GB2312"/>
          <w:color w:val="000000"/>
          <w:sz w:val="32"/>
          <w:szCs w:val="32"/>
          <w:highlight w:val="none"/>
          <w:lang w:val="en-US" w:eastAsia="zh-CN"/>
        </w:rPr>
        <w:t>增加原因是</w:t>
      </w:r>
      <w:r>
        <w:rPr>
          <w:rFonts w:hint="eastAsia" w:ascii="仿宋_GB2312" w:hAnsi="宋体" w:eastAsia="仿宋_GB2312"/>
          <w:sz w:val="32"/>
          <w:szCs w:val="32"/>
          <w:highlight w:val="none"/>
          <w:lang w:val="en-US" w:eastAsia="zh-CN"/>
        </w:rPr>
        <w:t>加大部门存量资金与年度预算的统筹，将事业基金按规定编入下一年度预算</w:t>
      </w:r>
      <w:r>
        <w:rPr>
          <w:rFonts w:hint="eastAsia" w:ascii="仿宋_GB2312" w:eastAsia="仿宋_GB2312"/>
          <w:color w:val="000000"/>
          <w:sz w:val="32"/>
          <w:szCs w:val="32"/>
          <w:highlight w:val="none"/>
        </w:rPr>
        <w:t>；</w:t>
      </w:r>
      <w:r>
        <w:rPr>
          <w:rFonts w:hint="eastAsia" w:ascii="仿宋_GB2312" w:eastAsia="仿宋_GB2312"/>
          <w:color w:val="000000"/>
          <w:sz w:val="32"/>
          <w:szCs w:val="32"/>
        </w:rPr>
        <w:t>其他资金488.97万元,比2020年771.91万元减少282.94万元。其他资金是事业收入，即委托检验费和技术咨询服务费。</w:t>
      </w:r>
      <w:r>
        <w:rPr>
          <w:rFonts w:hint="eastAsia" w:ascii="仿宋_GB2312" w:eastAsia="仿宋_GB2312"/>
          <w:color w:val="000000"/>
          <w:sz w:val="32"/>
          <w:szCs w:val="32"/>
          <w:lang w:val="en-US" w:eastAsia="zh-CN"/>
        </w:rPr>
        <w:t>受新冠疫情影响，纺织服装实体店销售严重受措，停业渐多，技术咨询服务费随之减少。委托业务费也有所下降。</w:t>
      </w:r>
    </w:p>
    <w:p>
      <w:pPr>
        <w:spacing w:line="560" w:lineRule="exact"/>
        <w:ind w:firstLine="640" w:firstLineChars="200"/>
        <w:rPr>
          <w:rFonts w:hint="default" w:ascii="仿宋_GB2312" w:eastAsia="仿宋_GB2312"/>
          <w:color w:val="000000"/>
          <w:sz w:val="32"/>
          <w:szCs w:val="32"/>
          <w:highlight w:val="none"/>
          <w:lang w:val="en-US" w:eastAsia="zh-CN"/>
        </w:rPr>
      </w:pPr>
      <w:r>
        <w:rPr>
          <w:rFonts w:hint="eastAsia" w:ascii="仿宋_GB2312" w:eastAsia="仿宋_GB2312"/>
          <w:color w:val="000000"/>
          <w:sz w:val="32"/>
          <w:szCs w:val="32"/>
        </w:rPr>
        <w:t>2021年基本支出预算1071.22万元，占总支出预算100%，比2020年1074.16万元减少2.94万元，下降0.27%。</w:t>
      </w:r>
      <w:r>
        <w:rPr>
          <w:rFonts w:hint="eastAsia" w:ascii="仿宋_GB2312" w:eastAsia="仿宋_GB2312"/>
          <w:color w:val="000000"/>
          <w:sz w:val="32"/>
          <w:szCs w:val="32"/>
          <w:lang w:val="en-US" w:eastAsia="zh-CN"/>
        </w:rPr>
        <w:t>其中：财政拨款预算支出302.25万元，全部用于人员经费支出。基本支出减少的原因是</w:t>
      </w:r>
      <w:r>
        <w:rPr>
          <w:rFonts w:hint="eastAsia" w:ascii="仿宋_GB2312" w:eastAsia="仿宋_GB2312"/>
          <w:color w:val="000000"/>
          <w:sz w:val="32"/>
          <w:szCs w:val="32"/>
          <w:highlight w:val="none"/>
          <w:lang w:val="en-US" w:eastAsia="zh-CN"/>
        </w:rPr>
        <w:t>落实政府过紧日子要求，</w:t>
      </w:r>
      <w:r>
        <w:rPr>
          <w:rFonts w:hint="eastAsia" w:ascii="仿宋" w:hAnsi="仿宋" w:eastAsia="仿宋" w:cs="仿宋"/>
          <w:sz w:val="32"/>
          <w:szCs w:val="32"/>
          <w:highlight w:val="none"/>
          <w:lang w:val="en-US" w:eastAsia="zh-CN"/>
        </w:rPr>
        <w:t>厉行节约，进一步压减支出。</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本单位2021年无项目支出经费预算</w:t>
      </w:r>
      <w:r>
        <w:rPr>
          <w:rFonts w:hint="eastAsia" w:ascii="仿宋_GB2312" w:eastAsia="仿宋_GB2312"/>
          <w:color w:val="000000"/>
          <w:sz w:val="32"/>
          <w:szCs w:val="32"/>
          <w:lang w:eastAsia="zh-CN"/>
        </w:rPr>
        <w:t>。</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560" w:lineRule="exact"/>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本单位2021年无财政拨款安排的“三公”经费预算</w:t>
      </w:r>
      <w:r>
        <w:rPr>
          <w:rFonts w:hint="eastAsia" w:ascii="仿宋_GB2312" w:eastAsia="仿宋_GB2312"/>
          <w:color w:val="000000"/>
          <w:sz w:val="32"/>
          <w:szCs w:val="32"/>
          <w:lang w:eastAsia="zh-CN"/>
        </w:rPr>
        <w:t>。</w:t>
      </w:r>
    </w:p>
    <w:p>
      <w:pPr>
        <w:spacing w:line="560" w:lineRule="exact"/>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560" w:lineRule="exact"/>
        <w:rPr>
          <w:rFonts w:hint="eastAsia" w:ascii="仿宋_GB2312" w:eastAsia="仿宋_GB2312"/>
          <w:color w:val="000000"/>
          <w:sz w:val="32"/>
          <w:szCs w:val="32"/>
        </w:rPr>
      </w:pPr>
      <w:r>
        <w:rPr>
          <w:rFonts w:hint="eastAsia" w:ascii="仿宋" w:hAnsi="仿宋" w:eastAsia="仿宋" w:cs="仿宋"/>
          <w:sz w:val="32"/>
          <w:szCs w:val="32"/>
          <w:lang w:val="en-US" w:eastAsia="zh-CN"/>
        </w:rPr>
        <w:t xml:space="preserve">    </w:t>
      </w:r>
      <w:r>
        <w:rPr>
          <w:rFonts w:ascii="仿宋" w:hAnsi="仿宋" w:eastAsia="仿宋" w:cs="仿宋"/>
          <w:sz w:val="32"/>
          <w:szCs w:val="32"/>
        </w:rPr>
        <w:t>2021年北京市毛麻丝织品质量监督检验站单位政府采购预算总额5.32万元，其中：政府采购货物预算0万元，政府采购工程预算0万元，政府采购服务预算5.32万元。</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ind w:firstLine="640" w:firstLineChars="200"/>
        <w:rPr>
          <w:rFonts w:ascii="仿宋" w:hAnsi="仿宋" w:eastAsia="仿宋" w:cs="仿宋"/>
          <w:sz w:val="32"/>
          <w:szCs w:val="32"/>
        </w:rPr>
      </w:pPr>
      <w:r>
        <w:rPr>
          <w:rFonts w:hint="eastAsia" w:ascii="仿宋" w:hAnsi="仿宋" w:eastAsia="仿宋" w:cs="仿宋"/>
          <w:sz w:val="32"/>
          <w:szCs w:val="32"/>
        </w:rPr>
        <w:t>本单位2021年无政府购买服务预算</w:t>
      </w:r>
      <w:r>
        <w:rPr>
          <w:rFonts w:hint="eastAsia" w:ascii="仿宋_GB2312" w:eastAsia="仿宋_GB2312"/>
          <w:sz w:val="32"/>
          <w:szCs w:val="32"/>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lang w:val="en-US" w:eastAsia="zh-CN"/>
        </w:rPr>
        <w:t>本</w:t>
      </w:r>
      <w:r>
        <w:rPr>
          <w:rFonts w:hint="eastAsia" w:ascii="仿宋_GB2312" w:eastAsia="仿宋_GB2312"/>
          <w:color w:val="000000"/>
          <w:sz w:val="32"/>
          <w:szCs w:val="32"/>
        </w:rPr>
        <w:t>单位不在机关运行经费统计范围之内</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lang w:val="en-US" w:eastAsia="zh-CN"/>
        </w:rPr>
        <w:t>本</w:t>
      </w:r>
      <w:r>
        <w:rPr>
          <w:rFonts w:hint="eastAsia" w:ascii="仿宋_GB2312" w:eastAsia="仿宋_GB2312"/>
          <w:color w:val="000000"/>
          <w:sz w:val="32"/>
          <w:szCs w:val="32"/>
        </w:rPr>
        <w:t>单位2021年</w:t>
      </w:r>
      <w:r>
        <w:rPr>
          <w:rFonts w:hint="eastAsia" w:ascii="仿宋_GB2312" w:eastAsia="仿宋_GB2312"/>
          <w:color w:val="000000"/>
          <w:sz w:val="32"/>
          <w:szCs w:val="32"/>
          <w:lang w:val="en-US" w:eastAsia="zh-CN"/>
        </w:rPr>
        <w:t>无项目支出</w:t>
      </w:r>
      <w:r>
        <w:rPr>
          <w:rFonts w:hint="eastAsia" w:ascii="仿宋_GB2312" w:eastAsia="仿宋_GB2312"/>
          <w:color w:val="000000"/>
          <w:sz w:val="32"/>
          <w:szCs w:val="32"/>
        </w:rPr>
        <w:t>绩效目标。</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560" w:lineRule="exact"/>
        <w:ind w:firstLine="480" w:firstLineChars="150"/>
        <w:rPr>
          <w:rFonts w:hint="eastAsia" w:ascii="仿宋_GB2312" w:eastAsia="仿宋_GB2312"/>
          <w:color w:val="000000"/>
          <w:sz w:val="32"/>
          <w:szCs w:val="32"/>
          <w:lang w:eastAsia="zh-CN"/>
        </w:rPr>
      </w:pP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本单位2021年无重点行政事业性收费</w:t>
      </w:r>
      <w:r>
        <w:rPr>
          <w:rFonts w:hint="eastAsia" w:ascii="仿宋_GB2312" w:eastAsia="仿宋_GB2312"/>
          <w:color w:val="000000"/>
          <w:sz w:val="32"/>
          <w:szCs w:val="32"/>
          <w:lang w:eastAsia="zh-CN"/>
        </w:rPr>
        <w:t>。</w:t>
      </w:r>
    </w:p>
    <w:p>
      <w:pPr>
        <w:spacing w:line="560" w:lineRule="exact"/>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560" w:lineRule="exact"/>
        <w:ind w:firstLine="640" w:firstLineChars="200"/>
        <w:rPr>
          <w:rFonts w:hint="eastAsia" w:ascii="仿宋_GB2312" w:eastAsia="仿宋_GB2312"/>
          <w:color w:val="000000"/>
          <w:sz w:val="32"/>
          <w:szCs w:val="32"/>
          <w:lang w:eastAsia="zh-CN"/>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r>
        <w:rPr>
          <w:rFonts w:hint="eastAsia" w:ascii="仿宋_GB2312" w:eastAsia="仿宋_GB2312"/>
          <w:color w:val="000000"/>
          <w:sz w:val="32"/>
          <w:szCs w:val="32"/>
          <w:lang w:eastAsia="zh-CN"/>
        </w:rPr>
        <w:t>。</w:t>
      </w:r>
    </w:p>
    <w:p>
      <w:pPr>
        <w:spacing w:line="560" w:lineRule="exact"/>
        <w:ind w:firstLine="640" w:firstLineChars="200"/>
        <w:rPr>
          <w:rFonts w:ascii="楷体_GB2312" w:eastAsia="楷体_GB2312"/>
          <w:color w:val="000000"/>
          <w:sz w:val="32"/>
          <w:szCs w:val="32"/>
        </w:rPr>
      </w:pPr>
      <w:r>
        <w:rPr>
          <w:rFonts w:hint="eastAsia" w:ascii="楷体_GB2312" w:eastAsia="楷体_GB2312"/>
          <w:color w:val="000000"/>
          <w:sz w:val="32"/>
          <w:szCs w:val="32"/>
        </w:rPr>
        <w:t>（</w:t>
      </w:r>
      <w:r>
        <w:rPr>
          <w:rFonts w:hint="eastAsia" w:ascii="楷体_GB2312" w:eastAsia="楷体_GB2312"/>
          <w:color w:val="000000"/>
          <w:sz w:val="32"/>
          <w:szCs w:val="32"/>
          <w:lang w:val="en-US" w:eastAsia="zh-CN"/>
        </w:rPr>
        <w:t>七</w:t>
      </w:r>
      <w:r>
        <w:rPr>
          <w:rFonts w:hint="eastAsia" w:ascii="楷体_GB2312" w:eastAsia="楷体_GB2312"/>
          <w:color w:val="000000"/>
          <w:sz w:val="32"/>
          <w:szCs w:val="32"/>
        </w:rPr>
        <w:t>）国有资产占用情况说明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w:t>
      </w:r>
      <w:r>
        <w:rPr>
          <w:rFonts w:hint="eastAsia" w:ascii="仿宋_GB2312" w:eastAsia="仿宋_GB2312"/>
          <w:color w:val="000000"/>
          <w:sz w:val="32"/>
          <w:szCs w:val="32"/>
          <w:lang w:val="en-US" w:eastAsia="zh-CN"/>
        </w:rPr>
        <w:t>本</w:t>
      </w:r>
      <w:r>
        <w:rPr>
          <w:rFonts w:hint="eastAsia" w:ascii="仿宋_GB2312" w:eastAsia="仿宋_GB2312"/>
          <w:color w:val="000000"/>
          <w:sz w:val="32"/>
          <w:szCs w:val="32"/>
        </w:rPr>
        <w:t>单位</w:t>
      </w:r>
      <w:r>
        <w:rPr>
          <w:rFonts w:hint="eastAsia" w:ascii="仿宋_GB2312" w:eastAsia="仿宋_GB2312"/>
          <w:color w:val="000000"/>
          <w:sz w:val="32"/>
          <w:szCs w:val="32"/>
          <w:lang w:val="en-US" w:eastAsia="zh-CN"/>
        </w:rPr>
        <w:t>没</w:t>
      </w:r>
      <w:r>
        <w:rPr>
          <w:rFonts w:hint="eastAsia" w:ascii="仿宋_GB2312" w:eastAsia="仿宋_GB2312"/>
          <w:color w:val="000000"/>
          <w:sz w:val="32"/>
          <w:szCs w:val="32"/>
        </w:rPr>
        <w:t>有车辆；单位价值50万元以上的通用设备</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台（套）、</w:t>
      </w:r>
      <w:r>
        <w:rPr>
          <w:rFonts w:hint="eastAsia" w:ascii="仿宋_GB2312" w:eastAsia="仿宋_GB2312"/>
          <w:color w:val="000000"/>
          <w:sz w:val="32"/>
          <w:szCs w:val="32"/>
          <w:lang w:val="en-US" w:eastAsia="zh-CN"/>
        </w:rPr>
        <w:t>70.82</w:t>
      </w:r>
      <w:r>
        <w:rPr>
          <w:rFonts w:hint="eastAsia" w:ascii="仿宋_GB2312" w:eastAsia="仿宋_GB2312"/>
          <w:color w:val="000000"/>
          <w:sz w:val="32"/>
          <w:szCs w:val="32"/>
        </w:rPr>
        <w:t>万元，单位价值100万元以上的专用设备</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台（套）、</w:t>
      </w:r>
      <w:r>
        <w:rPr>
          <w:rFonts w:hint="eastAsia" w:ascii="仿宋_GB2312" w:eastAsia="仿宋_GB2312"/>
          <w:color w:val="000000"/>
          <w:sz w:val="32"/>
          <w:szCs w:val="32"/>
          <w:lang w:val="en-US" w:eastAsia="zh-CN"/>
        </w:rPr>
        <w:t>220.00</w:t>
      </w:r>
      <w:r>
        <w:rPr>
          <w:rFonts w:hint="eastAsia" w:ascii="仿宋_GB2312" w:eastAsia="仿宋_GB2312"/>
          <w:color w:val="000000"/>
          <w:sz w:val="32"/>
          <w:szCs w:val="32"/>
        </w:rPr>
        <w:t>万元。</w:t>
      </w:r>
    </w:p>
    <w:p>
      <w:pPr>
        <w:numPr>
          <w:ilvl w:val="0"/>
          <w:numId w:val="1"/>
        </w:numPr>
        <w:spacing w:line="560" w:lineRule="exact"/>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名词解释</w:t>
      </w:r>
    </w:p>
    <w:p>
      <w:pPr>
        <w:numPr>
          <w:ilvl w:val="0"/>
          <w:numId w:val="0"/>
        </w:num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基本支出：指为保障机构正常运转、完成日常工作任务而发生的人员支出和公用支出。</w:t>
      </w:r>
    </w:p>
    <w:p>
      <w:pPr>
        <w:spacing w:line="560" w:lineRule="exact"/>
        <w:rPr>
          <w:rFonts w:ascii="仿宋_GB2312" w:eastAsia="仿宋_GB2312"/>
          <w:color w:val="000000"/>
          <w:sz w:val="32"/>
          <w:szCs w:val="32"/>
        </w:rPr>
      </w:pPr>
    </w:p>
    <w:p>
      <w:pPr>
        <w:spacing w:line="560" w:lineRule="exact"/>
        <w:rPr>
          <w:rFonts w:ascii="仿宋_GB2312" w:eastAsia="仿宋_GB2312"/>
          <w:color w:val="000000"/>
          <w:sz w:val="32"/>
          <w:szCs w:val="32"/>
        </w:rPr>
      </w:pPr>
    </w:p>
    <w:p>
      <w:pPr>
        <w:spacing w:line="560" w:lineRule="exact"/>
        <w:jc w:val="center"/>
        <w:rPr>
          <w:rFonts w:hint="eastAsia" w:ascii="仿宋_GB2312" w:eastAsia="仿宋_GB2312" w:cs="宋体"/>
          <w:color w:val="000000"/>
          <w:kern w:val="0"/>
          <w:sz w:val="32"/>
          <w:szCs w:val="32"/>
          <w:lang w:val="zh-CN"/>
        </w:rPr>
      </w:pPr>
      <w:r>
        <w:rPr>
          <w:rFonts w:hint="eastAsia" w:ascii="方正小标宋简体" w:eastAsia="方正小标宋简体"/>
          <w:color w:val="000000"/>
          <w:sz w:val="36"/>
          <w:szCs w:val="36"/>
        </w:rPr>
        <w:t>第二部分  2021年单位预算报表</w:t>
      </w:r>
    </w:p>
    <w:p>
      <w:pPr>
        <w:rPr>
          <w:rFonts w:hint="eastAsia"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附件：</w:t>
      </w:r>
    </w:p>
    <w:p>
      <w:pPr>
        <w:rPr>
          <w:rFonts w:hint="default" w:ascii="仿宋_GB2312" w:eastAsia="仿宋_GB2312" w:cs="宋体"/>
          <w:color w:val="000000"/>
          <w:kern w:val="0"/>
          <w:sz w:val="32"/>
          <w:szCs w:val="32"/>
          <w:lang w:val="en-US" w:eastAsia="zh-CN"/>
        </w:rPr>
      </w:pPr>
      <w:r>
        <w:rPr>
          <w:rFonts w:hint="eastAsia" w:ascii="仿宋_GB2312" w:eastAsia="仿宋_GB2312" w:cs="宋体"/>
          <w:color w:val="000000"/>
          <w:kern w:val="0"/>
          <w:sz w:val="32"/>
          <w:szCs w:val="32"/>
          <w:lang w:val="zh-CN"/>
        </w:rPr>
        <w:t>北京市毛麻丝织品质量监督检验站2021年</w:t>
      </w:r>
      <w:r>
        <w:rPr>
          <w:rFonts w:hint="eastAsia" w:ascii="仿宋_GB2312" w:eastAsia="仿宋_GB2312" w:cs="宋体"/>
          <w:color w:val="000000"/>
          <w:kern w:val="0"/>
          <w:sz w:val="32"/>
          <w:szCs w:val="32"/>
          <w:lang w:val="en-US" w:eastAsia="zh-CN"/>
        </w:rPr>
        <w:t>度</w:t>
      </w:r>
      <w:r>
        <w:rPr>
          <w:rFonts w:hint="eastAsia" w:ascii="仿宋_GB2312" w:eastAsia="仿宋_GB2312"/>
          <w:color w:val="000000"/>
          <w:sz w:val="32"/>
          <w:szCs w:val="32"/>
        </w:rPr>
        <w:t>单位预算报表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微软雅黑"/>
    <w:panose1 w:val="02010601030101010101"/>
    <w:charset w:val="86"/>
    <w:family w:val="auto"/>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6</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017468"/>
    <w:multiLevelType w:val="singleLevel"/>
    <w:tmpl w:val="89017468"/>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42B"/>
    <w:rsid w:val="00023DE1"/>
    <w:rsid w:val="00035812"/>
    <w:rsid w:val="0014236C"/>
    <w:rsid w:val="0015457E"/>
    <w:rsid w:val="0027678F"/>
    <w:rsid w:val="00346FBE"/>
    <w:rsid w:val="00373F45"/>
    <w:rsid w:val="00374207"/>
    <w:rsid w:val="004512CE"/>
    <w:rsid w:val="00471CE7"/>
    <w:rsid w:val="004A1265"/>
    <w:rsid w:val="00590693"/>
    <w:rsid w:val="005D2DBD"/>
    <w:rsid w:val="00654509"/>
    <w:rsid w:val="006F343A"/>
    <w:rsid w:val="0079211A"/>
    <w:rsid w:val="008136D7"/>
    <w:rsid w:val="008236A1"/>
    <w:rsid w:val="0083542B"/>
    <w:rsid w:val="0089797D"/>
    <w:rsid w:val="009E2D15"/>
    <w:rsid w:val="00A7474F"/>
    <w:rsid w:val="00A867F7"/>
    <w:rsid w:val="00B750B5"/>
    <w:rsid w:val="00CB5F08"/>
    <w:rsid w:val="00CF3FED"/>
    <w:rsid w:val="00D06CE9"/>
    <w:rsid w:val="00DB0EA4"/>
    <w:rsid w:val="00E165B8"/>
    <w:rsid w:val="00E35892"/>
    <w:rsid w:val="00E36D60"/>
    <w:rsid w:val="00EA3D45"/>
    <w:rsid w:val="00F623DF"/>
    <w:rsid w:val="00FF0109"/>
    <w:rsid w:val="01500887"/>
    <w:rsid w:val="028F7FCB"/>
    <w:rsid w:val="04E51E73"/>
    <w:rsid w:val="05643241"/>
    <w:rsid w:val="06887DB5"/>
    <w:rsid w:val="072E3050"/>
    <w:rsid w:val="09532161"/>
    <w:rsid w:val="0A9C65E4"/>
    <w:rsid w:val="0A9D2582"/>
    <w:rsid w:val="0CB6208F"/>
    <w:rsid w:val="0E7A71C3"/>
    <w:rsid w:val="10980E53"/>
    <w:rsid w:val="147D43AB"/>
    <w:rsid w:val="17F02A9A"/>
    <w:rsid w:val="1867650F"/>
    <w:rsid w:val="18990444"/>
    <w:rsid w:val="18BB0C84"/>
    <w:rsid w:val="197232A5"/>
    <w:rsid w:val="1980233D"/>
    <w:rsid w:val="1A6E6F8E"/>
    <w:rsid w:val="1B8C33EC"/>
    <w:rsid w:val="1BAC4140"/>
    <w:rsid w:val="1D4611FD"/>
    <w:rsid w:val="1D4C7493"/>
    <w:rsid w:val="1FAD00E4"/>
    <w:rsid w:val="20DE5061"/>
    <w:rsid w:val="21E8205B"/>
    <w:rsid w:val="246903E3"/>
    <w:rsid w:val="25F60579"/>
    <w:rsid w:val="262B610F"/>
    <w:rsid w:val="26B85E57"/>
    <w:rsid w:val="29E73E9A"/>
    <w:rsid w:val="2B5A4644"/>
    <w:rsid w:val="31E14717"/>
    <w:rsid w:val="32772FA9"/>
    <w:rsid w:val="337F2696"/>
    <w:rsid w:val="341B21DB"/>
    <w:rsid w:val="38267593"/>
    <w:rsid w:val="39434F76"/>
    <w:rsid w:val="3DCB2E84"/>
    <w:rsid w:val="3E655A89"/>
    <w:rsid w:val="400C6709"/>
    <w:rsid w:val="403A65C3"/>
    <w:rsid w:val="40687F9D"/>
    <w:rsid w:val="4238279F"/>
    <w:rsid w:val="4265403E"/>
    <w:rsid w:val="44062FE2"/>
    <w:rsid w:val="44C9564B"/>
    <w:rsid w:val="48741646"/>
    <w:rsid w:val="487A3C0B"/>
    <w:rsid w:val="4AAE5AC0"/>
    <w:rsid w:val="4C272868"/>
    <w:rsid w:val="4C875D4D"/>
    <w:rsid w:val="4DFB4B4B"/>
    <w:rsid w:val="4E9977F0"/>
    <w:rsid w:val="4EA35A99"/>
    <w:rsid w:val="50A57833"/>
    <w:rsid w:val="547B508F"/>
    <w:rsid w:val="582B7132"/>
    <w:rsid w:val="594603A6"/>
    <w:rsid w:val="5A630C4B"/>
    <w:rsid w:val="5B3D5D27"/>
    <w:rsid w:val="5B9B3C71"/>
    <w:rsid w:val="5BDD0EB6"/>
    <w:rsid w:val="5C7107EF"/>
    <w:rsid w:val="5E77075A"/>
    <w:rsid w:val="609E21A0"/>
    <w:rsid w:val="62714D38"/>
    <w:rsid w:val="637C0E2F"/>
    <w:rsid w:val="64157CC9"/>
    <w:rsid w:val="64414968"/>
    <w:rsid w:val="65BD0AFF"/>
    <w:rsid w:val="67B86492"/>
    <w:rsid w:val="68A2476C"/>
    <w:rsid w:val="68EF332A"/>
    <w:rsid w:val="691D3417"/>
    <w:rsid w:val="69D534B7"/>
    <w:rsid w:val="6B225305"/>
    <w:rsid w:val="702D70A3"/>
    <w:rsid w:val="70A8708F"/>
    <w:rsid w:val="72D81C3F"/>
    <w:rsid w:val="746566CC"/>
    <w:rsid w:val="74847B4F"/>
    <w:rsid w:val="77761DF8"/>
    <w:rsid w:val="7B167DFC"/>
    <w:rsid w:val="7B4452EB"/>
    <w:rsid w:val="7C073A92"/>
    <w:rsid w:val="7CC14606"/>
    <w:rsid w:val="7EB40B6E"/>
    <w:rsid w:val="7FFD47CA"/>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qFormat/>
    <w:uiPriority w:val="99"/>
    <w:rPr>
      <w:sz w:val="18"/>
      <w:szCs w:val="18"/>
    </w:rPr>
  </w:style>
  <w:style w:type="character" w:customStyle="1" w:styleId="9">
    <w:name w:val="批注框文本 Char"/>
    <w:basedOn w:val="5"/>
    <w:link w:val="2"/>
    <w:semiHidden/>
    <w:qFormat/>
    <w:uiPriority w:val="99"/>
    <w:rPr>
      <w:rFonts w:ascii="Times New Roman" w:hAnsi="Times New Roman" w:eastAsia="宋体" w:cs="Droid Sans"/>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348</Words>
  <Characters>1984</Characters>
  <Lines>16</Lines>
  <Paragraphs>4</Paragraphs>
  <ScaleCrop>false</ScaleCrop>
  <LinksUpToDate>false</LinksUpToDate>
  <CharactersWithSpaces>2328</CharactersWithSpaces>
  <Application>WPS Office_10.8.0.5800_F1E327BC-269C-435d-A152-05C5408002CA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2021-02-22T05:53:00Z</dcterms:created>
  <dc:creator>刘伟奇</dc:creator>
  <cp:lastModifiedBy>weirong</cp:lastModifiedBy>
  <cp:lastPrinted>2021-02-22T06:51:00Z</cp:lastPrinted>
  <dcterms:modified xsi:type="dcterms:W3CDTF">2021-03-05T05:54:43Z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2052-10.8.0.5800</vt:lpwstr>
  </property>
</Properties>
</file>