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Times New Roman" w:eastAsia="方正小标宋简体" w:cs="Droid Sans"/>
          <w:color w:val="000000"/>
          <w:sz w:val="36"/>
          <w:szCs w:val="36"/>
        </w:rPr>
      </w:pPr>
      <w:r>
        <w:rPr>
          <w:rFonts w:hint="eastAsia" w:ascii="方正小标宋简体" w:hAnsi="Times New Roman" w:eastAsia="方正小标宋简体" w:cs="Droid Sans"/>
          <w:color w:val="000000"/>
          <w:sz w:val="36"/>
          <w:szCs w:val="36"/>
          <w:lang w:eastAsia="zh-CN"/>
        </w:rPr>
        <w:t>北京市纺织服装职业技能培训学校</w:t>
      </w:r>
      <w:r>
        <w:rPr>
          <w:rFonts w:hint="eastAsia" w:ascii="方正小标宋简体" w:hAnsi="Times New Roman" w:eastAsia="方正小标宋简体" w:cs="Droid Sans"/>
          <w:color w:val="000000"/>
          <w:sz w:val="36"/>
          <w:szCs w:val="36"/>
        </w:rPr>
        <w:t>202</w:t>
      </w:r>
      <w:r>
        <w:rPr>
          <w:rFonts w:hint="eastAsia" w:ascii="方正小标宋简体" w:hAnsi="Times New Roman" w:eastAsia="方正小标宋简体" w:cs="Droid Sans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Times New Roman" w:eastAsia="方正小标宋简体" w:cs="Droid Sans"/>
          <w:color w:val="000000"/>
          <w:sz w:val="36"/>
          <w:szCs w:val="36"/>
        </w:rPr>
        <w:t>年</w:t>
      </w:r>
    </w:p>
    <w:p>
      <w:pPr>
        <w:spacing w:line="560" w:lineRule="exact"/>
        <w:jc w:val="center"/>
        <w:rPr>
          <w:rFonts w:hint="eastAsia" w:ascii="方正小标宋简体" w:hAnsi="Times New Roman" w:eastAsia="方正小标宋简体" w:cs="Droid Sans"/>
          <w:color w:val="000000"/>
          <w:sz w:val="36"/>
          <w:szCs w:val="36"/>
        </w:rPr>
      </w:pPr>
      <w:r>
        <w:rPr>
          <w:rFonts w:hint="eastAsia" w:ascii="方正小标宋简体" w:hAnsi="Times New Roman" w:eastAsia="方正小标宋简体" w:cs="Droid Sans"/>
          <w:color w:val="000000"/>
          <w:sz w:val="36"/>
          <w:szCs w:val="36"/>
        </w:rPr>
        <w:t>财政预算信息</w:t>
      </w:r>
      <w:r>
        <w:rPr>
          <w:rFonts w:hint="eastAsia" w:ascii="方正小标宋简体" w:hAnsi="Times New Roman" w:eastAsia="方正小标宋简体" w:cs="Droid Sans"/>
          <w:color w:val="000000"/>
          <w:sz w:val="36"/>
          <w:szCs w:val="36"/>
          <w:lang w:eastAsia="zh-CN"/>
        </w:rPr>
        <w:t>公开</w:t>
      </w:r>
    </w:p>
    <w:p>
      <w:pPr>
        <w:spacing w:line="240" w:lineRule="exact"/>
        <w:jc w:val="center"/>
        <w:rPr>
          <w:rFonts w:hint="eastAsia" w:ascii="方正小标宋简体" w:hAnsi="Times New Roman" w:eastAsia="方正小标宋简体" w:cs="Droid Sans"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Fonts w:hint="eastAsia" w:ascii="方正小标宋简体" w:hAnsi="Times New Roman" w:eastAsia="方正小标宋简体" w:cs="Droid Sans"/>
          <w:color w:val="000000"/>
          <w:sz w:val="32"/>
          <w:szCs w:val="32"/>
        </w:rPr>
      </w:pPr>
      <w:r>
        <w:rPr>
          <w:rFonts w:hint="eastAsia" w:ascii="方正小标宋简体" w:hAnsi="Times New Roman" w:eastAsia="方正小标宋简体" w:cs="Droid Sans"/>
          <w:color w:val="000000"/>
          <w:sz w:val="32"/>
          <w:szCs w:val="32"/>
        </w:rPr>
        <w:t>目   录</w:t>
      </w:r>
    </w:p>
    <w:p>
      <w:pPr>
        <w:spacing w:line="240" w:lineRule="exact"/>
        <w:jc w:val="center"/>
        <w:rPr>
          <w:rFonts w:hint="eastAsia" w:ascii="方正小标宋简体" w:hAnsi="Times New Roman" w:eastAsia="方正小标宋简体" w:cs="Droid Sans"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_GB2312" w:hAnsi="Times New Roman" w:eastAsia="仿宋_GB2312" w:cs="Droid Sans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 xml:space="preserve">第一部分 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2022年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度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预算情况说明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一、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基本情况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二、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2022年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收入及支出总体情况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三、主要支出情况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四、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“三公”经费财政拨款预算说明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五、其他情况说明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六、名词解释</w:t>
      </w:r>
    </w:p>
    <w:p>
      <w:pPr>
        <w:spacing w:line="560" w:lineRule="exact"/>
        <w:rPr>
          <w:rFonts w:hint="eastAsia" w:ascii="仿宋_GB2312" w:hAnsi="Times New Roman" w:eastAsia="仿宋_GB2312" w:cs="Droid Sans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 xml:space="preserve">第二部分 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2022年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度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预算报表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  <w:t>一、收支总表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  <w:t xml:space="preserve">    二、收入总表    </w:t>
      </w:r>
    </w:p>
    <w:p>
      <w:pPr>
        <w:autoSpaceDE w:val="0"/>
        <w:autoSpaceDN w:val="0"/>
        <w:adjustRightInd w:val="0"/>
        <w:spacing w:line="560" w:lineRule="exact"/>
        <w:ind w:firstLine="640"/>
        <w:jc w:val="left"/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  <w:t>三、支出总表</w:t>
      </w:r>
    </w:p>
    <w:p>
      <w:pPr>
        <w:autoSpaceDE w:val="0"/>
        <w:autoSpaceDN w:val="0"/>
        <w:adjustRightInd w:val="0"/>
        <w:spacing w:line="560" w:lineRule="exact"/>
        <w:ind w:firstLine="640"/>
        <w:jc w:val="left"/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  <w:t>四、项目支出表</w:t>
      </w:r>
    </w:p>
    <w:p>
      <w:pPr>
        <w:autoSpaceDE w:val="0"/>
        <w:autoSpaceDN w:val="0"/>
        <w:adjustRightInd w:val="0"/>
        <w:spacing w:line="560" w:lineRule="exact"/>
        <w:ind w:firstLine="640"/>
        <w:jc w:val="left"/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  <w:t>五、政府采购预算明细表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  <w:t>六、财政拨款收支总表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  <w:t xml:space="preserve">    七、一般公共预算财政拨款支出表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hint="eastAsia" w:ascii="仿宋_GB2312" w:hAnsi="Times New Roman" w:eastAsia="仿宋_GB2312" w:cs="宋体"/>
          <w:color w:val="000000"/>
          <w:spacing w:val="-16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  <w:t xml:space="preserve">    </w:t>
      </w:r>
      <w:r>
        <w:rPr>
          <w:rFonts w:hint="eastAsia" w:ascii="仿宋_GB2312" w:hAnsi="Times New Roman" w:eastAsia="仿宋_GB2312" w:cs="宋体"/>
          <w:color w:val="000000"/>
          <w:spacing w:val="-16"/>
          <w:kern w:val="0"/>
          <w:sz w:val="32"/>
          <w:szCs w:val="32"/>
          <w:lang w:val="zh-CN" w:eastAsia="zh-CN" w:bidi="ar-SA"/>
        </w:rPr>
        <w:t>八、一般公共预算财政拨款基本支出表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  <w:t>九、政府性基金预算财政拨款支出表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Times New Roman" w:eastAsia="仿宋_GB2312" w:cs="宋体"/>
          <w:color w:val="000000"/>
          <w:spacing w:val="-16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  <w:t>十、国有资本经营预算财政拨款支出表</w:t>
      </w:r>
    </w:p>
    <w:p>
      <w:pPr>
        <w:autoSpaceDE w:val="0"/>
        <w:autoSpaceDN w:val="0"/>
        <w:adjustRightInd w:val="0"/>
        <w:spacing w:line="560" w:lineRule="exact"/>
        <w:ind w:firstLine="576" w:firstLineChars="200"/>
        <w:jc w:val="left"/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宋体"/>
          <w:color w:val="000000"/>
          <w:spacing w:val="-16"/>
          <w:kern w:val="0"/>
          <w:sz w:val="32"/>
          <w:szCs w:val="32"/>
          <w:lang w:val="zh-CN" w:eastAsia="zh-CN" w:bidi="ar-SA"/>
        </w:rPr>
        <w:t>十一、财政拨款</w:t>
      </w:r>
      <w:r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  <w:t>“三公”经费支出表</w:t>
      </w:r>
    </w:p>
    <w:p>
      <w:pPr>
        <w:autoSpaceDE w:val="0"/>
        <w:autoSpaceDN w:val="0"/>
        <w:adjustRightInd w:val="0"/>
        <w:spacing w:line="560" w:lineRule="exact"/>
        <w:ind w:firstLine="568" w:firstLineChars="200"/>
        <w:jc w:val="left"/>
        <w:rPr>
          <w:rFonts w:hint="eastAsia" w:ascii="仿宋_GB2312" w:hAnsi="Times New Roman" w:eastAsia="仿宋_GB2312" w:cs="宋体"/>
          <w:color w:val="000000"/>
          <w:spacing w:val="-18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宋体"/>
          <w:color w:val="000000"/>
          <w:spacing w:val="-18"/>
          <w:kern w:val="0"/>
          <w:sz w:val="32"/>
          <w:szCs w:val="32"/>
          <w:lang w:val="zh-CN" w:eastAsia="zh-CN" w:bidi="ar-SA"/>
        </w:rPr>
        <w:t>十二、政府购买服务预算财政拨款明细表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方正小标宋简体" w:hAnsi="Times New Roman" w:eastAsia="方正小标宋简体" w:cs="Droid Sans"/>
          <w:color w:val="000000"/>
          <w:sz w:val="36"/>
          <w:szCs w:val="36"/>
        </w:rPr>
      </w:pPr>
      <w:r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  <w:t>十三、项目支出绩效目标表</w:t>
      </w:r>
    </w:p>
    <w:p>
      <w:pPr>
        <w:spacing w:line="560" w:lineRule="exact"/>
        <w:jc w:val="center"/>
        <w:rPr>
          <w:rFonts w:hint="eastAsia" w:ascii="方正小标宋简体" w:hAnsi="Times New Roman" w:eastAsia="方正小标宋简体" w:cs="Droid Sans"/>
          <w:color w:val="000000"/>
          <w:sz w:val="32"/>
          <w:szCs w:val="32"/>
        </w:rPr>
      </w:pPr>
      <w:r>
        <w:rPr>
          <w:rFonts w:hint="eastAsia" w:ascii="方正小标宋简体" w:hAnsi="Times New Roman" w:eastAsia="方正小标宋简体" w:cs="Droid Sans"/>
          <w:color w:val="000000"/>
          <w:sz w:val="36"/>
          <w:szCs w:val="36"/>
        </w:rPr>
        <w:t xml:space="preserve">第一部分  </w:t>
      </w:r>
      <w:r>
        <w:rPr>
          <w:rFonts w:hint="eastAsia" w:ascii="方正小标宋简体" w:hAnsi="Times New Roman" w:eastAsia="方正小标宋简体" w:cs="Droid Sans"/>
          <w:color w:val="000000"/>
          <w:sz w:val="36"/>
          <w:szCs w:val="36"/>
          <w:lang w:eastAsia="zh-CN"/>
        </w:rPr>
        <w:t>2022年单位</w:t>
      </w:r>
      <w:r>
        <w:rPr>
          <w:rFonts w:hint="eastAsia" w:ascii="方正小标宋简体" w:hAnsi="Times New Roman" w:eastAsia="方正小标宋简体" w:cs="Droid Sans"/>
          <w:color w:val="000000"/>
          <w:sz w:val="36"/>
          <w:szCs w:val="36"/>
        </w:rPr>
        <w:t>预算情况说明</w:t>
      </w:r>
    </w:p>
    <w:p>
      <w:pPr>
        <w:spacing w:line="360" w:lineRule="auto"/>
        <w:rPr>
          <w:rFonts w:hint="eastAsia" w:ascii="仿宋_GB2312" w:hAnsi="Times New Roman" w:eastAsia="仿宋_GB2312" w:cs="Droid Sans"/>
          <w:color w:val="000000"/>
          <w:sz w:val="32"/>
          <w:szCs w:val="32"/>
        </w:rPr>
      </w:pPr>
    </w:p>
    <w:p>
      <w:pPr>
        <w:spacing w:line="560" w:lineRule="exact"/>
        <w:ind w:firstLine="643" w:firstLineChars="200"/>
        <w:rPr>
          <w:rFonts w:hint="eastAsia" w:ascii="仿宋_GB2312" w:hAnsi="Times New Roman" w:eastAsia="仿宋_GB2312" w:cs="Droid Sans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Droid Sans"/>
          <w:b/>
          <w:bCs/>
          <w:color w:val="000000"/>
          <w:sz w:val="32"/>
          <w:szCs w:val="32"/>
          <w:lang w:val="en-US" w:eastAsia="zh-CN"/>
        </w:rPr>
        <w:t>一、单位基本情况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（一）本单位性质、职责等情况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Droid Sans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Droid Sans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北京市纺织服装职业技能培训学校(以下简称“本单位”)成立于1982年。单位性质:差额拨款事业单位;预算代码:116306;主管部门:北京时尚控股有限责任公司;法定代表人:顾巍;单位负责人:栾世芬;单位地址:北京市丰台区新发地潘家庙56号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Droid Sans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Droid Sans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本单位主要职能为:培养中高级服装技术工人，提高社会职业素质，开办各班次的短期职业培训班，通过技能培训使学员在学习后取得中、高级资格证书，为服装行业输送大批技术型人才，取得良好的社会效益。为社会培养技能人才，为构建和谐社会，稳定社会做出积极努力贡献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机构设置情况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Times New Roman" w:eastAsia="仿宋_GB2312" w:cs="Droid Sans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Droid Sans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本单位内设校长办公室、财务科、教务培训科三个职能部门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Times New Roman" w:eastAsia="仿宋_GB2312" w:cs="Droid Sans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Droid Sans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人员构成情况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Times New Roman" w:eastAsia="仿宋_GB2312" w:cs="Droid Sans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Droid Sans"/>
          <w:b w:val="0"/>
          <w:bCs w:val="0"/>
          <w:color w:val="000000"/>
          <w:sz w:val="32"/>
          <w:szCs w:val="32"/>
          <w:lang w:val="en-US" w:eastAsia="zh-CN"/>
        </w:rPr>
        <w:t>本单位事业编制23人，实有人数13人；离退休人员11人，其中：离休0人，退休11人。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560" w:lineRule="exact"/>
        <w:ind w:firstLine="640" w:firstLineChars="200"/>
        <w:rPr>
          <w:rFonts w:hint="eastAsia" w:ascii="黑体" w:hAnsi="Times New Roman" w:eastAsia="黑体" w:cs="Droid Sans"/>
          <w:color w:val="000000"/>
          <w:sz w:val="32"/>
          <w:szCs w:val="32"/>
        </w:rPr>
      </w:pPr>
      <w:r>
        <w:rPr>
          <w:rFonts w:hint="eastAsia" w:ascii="黑体" w:hAnsi="Times New Roman" w:eastAsia="黑体" w:cs="Droid Sans"/>
          <w:color w:val="000000"/>
          <w:sz w:val="32"/>
          <w:szCs w:val="32"/>
        </w:rPr>
        <w:t>二、</w:t>
      </w:r>
      <w:r>
        <w:rPr>
          <w:rFonts w:hint="eastAsia" w:ascii="黑体" w:hAnsi="Times New Roman" w:eastAsia="黑体" w:cs="Droid Sans"/>
          <w:color w:val="000000"/>
          <w:sz w:val="32"/>
          <w:szCs w:val="32"/>
          <w:lang w:eastAsia="zh-CN"/>
        </w:rPr>
        <w:t>2022年</w:t>
      </w:r>
      <w:r>
        <w:rPr>
          <w:rFonts w:hint="eastAsia" w:ascii="黑体" w:hAnsi="Times New Roman" w:eastAsia="黑体" w:cs="Droid Sans"/>
          <w:color w:val="000000"/>
          <w:sz w:val="32"/>
          <w:szCs w:val="32"/>
        </w:rPr>
        <w:t>收入及支出总体情况</w:t>
      </w:r>
    </w:p>
    <w:p>
      <w:pPr>
        <w:spacing w:line="560" w:lineRule="exact"/>
        <w:ind w:firstLine="640" w:firstLineChars="200"/>
        <w:rPr>
          <w:rFonts w:hint="eastAsia" w:ascii="楷体_GB2312" w:hAnsi="Times New Roman" w:eastAsia="楷体_GB2312" w:cs="Droid Sans"/>
          <w:color w:val="000000"/>
          <w:sz w:val="32"/>
          <w:szCs w:val="32"/>
          <w:lang w:eastAsia="zh-CN"/>
        </w:rPr>
      </w:pPr>
      <w:r>
        <w:rPr>
          <w:rFonts w:hint="eastAsia" w:ascii="楷体_GB2312" w:hAnsi="Times New Roman" w:eastAsia="楷体_GB2312" w:cs="Droid Sans"/>
          <w:color w:val="000000"/>
          <w:sz w:val="32"/>
          <w:szCs w:val="32"/>
          <w:lang w:eastAsia="zh-CN"/>
        </w:rPr>
        <w:t>（一）收入预算说明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2022年收入预算294.97万元，与2021年持平。其中：本年财政拨款收入205.42万元,与2021年持平；本年其他资金收入89.56万元,与2021年持平；上年结转结余资金0万元,与2021年持平。</w:t>
      </w:r>
    </w:p>
    <w:p>
      <w:pPr>
        <w:spacing w:line="560" w:lineRule="exact"/>
        <w:ind w:firstLine="640" w:firstLineChars="200"/>
        <w:rPr>
          <w:rFonts w:hint="eastAsia" w:ascii="楷体_GB2312" w:hAnsi="Times New Roman" w:eastAsia="楷体_GB2312" w:cs="Droid Sans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Droid Sans"/>
          <w:color w:val="000000"/>
          <w:sz w:val="32"/>
          <w:szCs w:val="32"/>
          <w:lang w:val="en-US" w:eastAsia="zh-CN"/>
        </w:rPr>
        <w:t>（二）支出情况说明</w:t>
      </w:r>
    </w:p>
    <w:p>
      <w:pPr>
        <w:spacing w:line="560" w:lineRule="exact"/>
        <w:ind w:firstLine="640"/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2022年支出预算294.97万元，与2021年持平。基本支出预算294.97万元，占总支出预算100%，与2021年持平。项目支出预算0万元，与2021年持平。其中：</w:t>
      </w:r>
    </w:p>
    <w:p>
      <w:pPr>
        <w:spacing w:line="560" w:lineRule="exact"/>
        <w:ind w:firstLine="640"/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1.事业单位经营支出0万元。</w:t>
      </w:r>
    </w:p>
    <w:p>
      <w:pPr>
        <w:spacing w:line="560" w:lineRule="exact"/>
        <w:ind w:firstLine="640"/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2.上缴上级支出0万元。</w:t>
      </w:r>
    </w:p>
    <w:p>
      <w:pPr>
        <w:spacing w:line="560" w:lineRule="exact"/>
        <w:ind w:firstLine="640"/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3.对附属单位补助支出0万元。</w:t>
      </w:r>
    </w:p>
    <w:p>
      <w:pPr>
        <w:spacing w:line="560" w:lineRule="exact"/>
        <w:ind w:firstLine="640" w:firstLineChars="200"/>
        <w:rPr>
          <w:rFonts w:hint="eastAsia" w:ascii="黑体" w:hAnsi="Times New Roman" w:eastAsia="黑体" w:cs="Droid Sans"/>
          <w:color w:val="000000"/>
          <w:sz w:val="32"/>
          <w:szCs w:val="32"/>
        </w:rPr>
      </w:pPr>
      <w:r>
        <w:rPr>
          <w:rFonts w:hint="eastAsia" w:ascii="黑体" w:hAnsi="Times New Roman" w:eastAsia="黑体" w:cs="Droid Sans"/>
          <w:color w:val="000000"/>
          <w:sz w:val="32"/>
          <w:szCs w:val="32"/>
        </w:rPr>
        <w:t>三、主要支出情况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本单位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2022年无项目支出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Times New Roman" w:eastAsia="黑体" w:cs="Droid Sans"/>
          <w:color w:val="000000"/>
          <w:sz w:val="32"/>
          <w:szCs w:val="32"/>
        </w:rPr>
      </w:pPr>
      <w:r>
        <w:rPr>
          <w:rFonts w:hint="eastAsia" w:ascii="黑体" w:hAnsi="Times New Roman" w:eastAsia="黑体" w:cs="Droid Sans"/>
          <w:color w:val="000000"/>
          <w:sz w:val="32"/>
          <w:szCs w:val="32"/>
        </w:rPr>
        <w:t>四、</w:t>
      </w:r>
      <w:r>
        <w:rPr>
          <w:rFonts w:hint="eastAsia" w:ascii="黑体" w:hAnsi="Times New Roman" w:eastAsia="黑体" w:cs="Droid Sans"/>
          <w:color w:val="000000"/>
          <w:sz w:val="32"/>
          <w:szCs w:val="32"/>
          <w:lang w:eastAsia="zh-CN"/>
        </w:rPr>
        <w:t>单位</w:t>
      </w:r>
      <w:r>
        <w:rPr>
          <w:rFonts w:hint="eastAsia" w:ascii="黑体" w:hAnsi="Times New Roman" w:eastAsia="黑体" w:cs="Droid Sans"/>
          <w:color w:val="000000"/>
          <w:sz w:val="32"/>
          <w:szCs w:val="32"/>
        </w:rPr>
        <w:t>“三公”经费财政拨款预算说明</w:t>
      </w:r>
    </w:p>
    <w:p>
      <w:pPr>
        <w:spacing w:line="560" w:lineRule="exact"/>
        <w:ind w:firstLine="640" w:firstLineChars="200"/>
        <w:rPr>
          <w:rFonts w:hint="eastAsia" w:ascii="楷体_GB2312" w:hAnsi="Times New Roman" w:eastAsia="楷体_GB2312" w:cs="Droid Sans"/>
          <w:color w:val="000000"/>
          <w:sz w:val="32"/>
          <w:szCs w:val="32"/>
        </w:rPr>
      </w:pPr>
      <w:r>
        <w:rPr>
          <w:rFonts w:hint="eastAsia" w:ascii="楷体_GB2312" w:hAnsi="Times New Roman" w:eastAsia="楷体_GB2312" w:cs="Droid Sans"/>
          <w:color w:val="000000"/>
          <w:sz w:val="32"/>
          <w:szCs w:val="32"/>
        </w:rPr>
        <w:t>（一）“三公”经费的单位范围</w:t>
      </w:r>
    </w:p>
    <w:p>
      <w:pPr>
        <w:spacing w:line="560" w:lineRule="exact"/>
        <w:ind w:firstLine="42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本单位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因公出国（境）费用、公务接待费、公务用车购置和运行维护费开支单位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为本单位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</w:rPr>
      </w:pPr>
      <w:r>
        <w:rPr>
          <w:rFonts w:hint="eastAsia" w:ascii="楷体_GB2312" w:hAnsi="Times New Roman" w:eastAsia="楷体_GB2312" w:cs="Droid Sans"/>
          <w:color w:val="000000"/>
          <w:sz w:val="32"/>
          <w:szCs w:val="32"/>
        </w:rPr>
        <w:t>（二）“三公”经费预算财政拨款情况说明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2022年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“三公”经费财政拨款预算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1.39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万元，比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2021年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“三公”经费财政拨款预算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万元。其中：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1.因公出国（境）费用。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2022年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预算数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万元，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与2021年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预算数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持平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2.公务接待费。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2022年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预算数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万元，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与2021年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预算数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持平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3.公务用车购置和运行维护费。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2022年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预算数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1.39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万元，其中，公务用车购置费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2022年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预算数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万元，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与2021年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预算数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持平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；公务用车运行维护费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2022年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预算数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1.39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万元，其中：公务用车燃油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0.31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万元，公务用车维修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0.42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万元，公务用车保险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0.42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万元，其他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支出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0.24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万元。公务用车运行维护费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2022年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比202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1年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预算数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2.39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万元减少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万元。主要原因：落实政府过紧日子要求，厉行节约，进一步压减支出。</w:t>
      </w:r>
    </w:p>
    <w:p>
      <w:pPr>
        <w:spacing w:line="560" w:lineRule="exact"/>
        <w:ind w:firstLine="640" w:firstLineChars="200"/>
        <w:rPr>
          <w:rFonts w:hint="eastAsia" w:ascii="黑体" w:hAnsi="Times New Roman" w:eastAsia="黑体" w:cs="Droid Sans"/>
          <w:color w:val="000000"/>
          <w:sz w:val="32"/>
          <w:szCs w:val="32"/>
        </w:rPr>
      </w:pPr>
      <w:r>
        <w:rPr>
          <w:rFonts w:hint="eastAsia" w:ascii="黑体" w:hAnsi="Times New Roman" w:eastAsia="黑体" w:cs="Droid Sans"/>
          <w:color w:val="000000"/>
          <w:sz w:val="32"/>
          <w:szCs w:val="32"/>
        </w:rPr>
        <w:t>五、其他情况说明</w:t>
      </w:r>
    </w:p>
    <w:p>
      <w:pPr>
        <w:spacing w:line="560" w:lineRule="exact"/>
        <w:ind w:firstLine="640" w:firstLineChars="200"/>
        <w:rPr>
          <w:rFonts w:hint="eastAsia" w:ascii="楷体_GB2312" w:hAnsi="Times New Roman" w:eastAsia="楷体_GB2312" w:cs="Droid Sans"/>
          <w:color w:val="000000"/>
          <w:sz w:val="32"/>
          <w:szCs w:val="32"/>
        </w:rPr>
      </w:pPr>
      <w:r>
        <w:rPr>
          <w:rFonts w:hint="eastAsia" w:ascii="楷体_GB2312" w:hAnsi="Times New Roman" w:eastAsia="楷体_GB2312" w:cs="Droid Sans"/>
          <w:color w:val="000000"/>
          <w:sz w:val="32"/>
          <w:szCs w:val="32"/>
        </w:rPr>
        <w:t>（一）政府采购预算说明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本单位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2022年无政府采购预算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楷体_GB2312" w:hAnsi="Times New Roman" w:eastAsia="楷体_GB2312" w:cs="Droid Sans"/>
          <w:color w:val="000000"/>
          <w:sz w:val="32"/>
          <w:szCs w:val="32"/>
        </w:rPr>
      </w:pPr>
      <w:r>
        <w:rPr>
          <w:rFonts w:hint="eastAsia" w:ascii="楷体_GB2312" w:hAnsi="Times New Roman" w:eastAsia="楷体_GB2312" w:cs="Droid Sans"/>
          <w:color w:val="000000"/>
          <w:sz w:val="32"/>
          <w:szCs w:val="32"/>
        </w:rPr>
        <w:t>政府购买服务预算说明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本单位2022年无政府购买服务预算。</w:t>
      </w:r>
    </w:p>
    <w:p>
      <w:pPr>
        <w:spacing w:line="560" w:lineRule="exact"/>
        <w:ind w:firstLine="640" w:firstLineChars="200"/>
        <w:rPr>
          <w:rFonts w:hint="eastAsia" w:ascii="楷体_GB2312" w:hAnsi="Times New Roman" w:eastAsia="楷体_GB2312" w:cs="Droid Sans"/>
          <w:color w:val="000000"/>
          <w:sz w:val="32"/>
          <w:szCs w:val="32"/>
        </w:rPr>
      </w:pPr>
      <w:r>
        <w:rPr>
          <w:rFonts w:hint="eastAsia" w:ascii="楷体_GB2312" w:hAnsi="Times New Roman" w:eastAsia="楷体_GB2312" w:cs="Droid Sans"/>
          <w:color w:val="000000"/>
          <w:sz w:val="32"/>
          <w:szCs w:val="32"/>
        </w:rPr>
        <w:t>（三）机关运行经费说明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本单位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不在机关运行经费统计范围之内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560" w:lineRule="exact"/>
        <w:ind w:left="0" w:leftChars="0" w:firstLine="640" w:firstLineChars="200"/>
        <w:rPr>
          <w:rFonts w:hint="eastAsia" w:ascii="楷体_GB2312" w:hAnsi="Times New Roman" w:eastAsia="楷体_GB2312" w:cs="Droid Sans"/>
          <w:color w:val="000000"/>
          <w:sz w:val="32"/>
          <w:szCs w:val="32"/>
        </w:rPr>
      </w:pPr>
      <w:r>
        <w:rPr>
          <w:rFonts w:hint="eastAsia" w:ascii="楷体_GB2312" w:hAnsi="Times New Roman" w:eastAsia="楷体_GB2312" w:cs="Droid Sans"/>
          <w:color w:val="000000"/>
          <w:sz w:val="32"/>
          <w:szCs w:val="32"/>
        </w:rPr>
        <w:t>项目支出绩效目标情况说明</w:t>
      </w:r>
    </w:p>
    <w:p>
      <w:pPr>
        <w:bidi w:val="0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本单位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val="en-US" w:eastAsia="zh-CN"/>
        </w:rPr>
        <w:t>2022年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无项目支出绩效目标。</w:t>
      </w:r>
    </w:p>
    <w:p>
      <w:pPr>
        <w:numPr>
          <w:ilvl w:val="0"/>
          <w:numId w:val="2"/>
        </w:numPr>
        <w:spacing w:line="560" w:lineRule="exact"/>
        <w:ind w:left="0" w:leftChars="0" w:firstLine="640" w:firstLineChars="200"/>
        <w:rPr>
          <w:rFonts w:hint="eastAsia" w:ascii="楷体_GB2312" w:hAnsi="Times New Roman" w:eastAsia="楷体_GB2312" w:cs="Droid Sans"/>
          <w:color w:val="000000"/>
          <w:sz w:val="32"/>
          <w:szCs w:val="32"/>
          <w:highlight w:val="none"/>
        </w:rPr>
      </w:pPr>
      <w:r>
        <w:rPr>
          <w:rFonts w:hint="eastAsia" w:ascii="楷体_GB2312" w:hAnsi="Times New Roman" w:eastAsia="楷体_GB2312" w:cs="Droid Sans"/>
          <w:color w:val="000000"/>
          <w:sz w:val="32"/>
          <w:szCs w:val="32"/>
          <w:highlight w:val="none"/>
        </w:rPr>
        <w:t>重点行政事业性收费情况说明</w:t>
      </w:r>
    </w:p>
    <w:p>
      <w:pPr>
        <w:bidi w:val="0"/>
        <w:ind w:firstLine="640" w:firstLineChars="200"/>
        <w:rPr>
          <w:rFonts w:hint="eastAsia"/>
          <w:lang w:eastAsia="zh-CN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本单位2022年无重点行政事业性收费。</w:t>
      </w:r>
    </w:p>
    <w:p>
      <w:pPr>
        <w:spacing w:line="560" w:lineRule="exact"/>
        <w:ind w:firstLine="640" w:firstLineChars="200"/>
        <w:rPr>
          <w:rFonts w:hint="eastAsia" w:ascii="楷体_GB2312" w:hAnsi="Times New Roman" w:eastAsia="楷体_GB2312" w:cs="Droid Sans"/>
          <w:color w:val="000000"/>
          <w:sz w:val="32"/>
          <w:szCs w:val="32"/>
          <w:highlight w:val="none"/>
        </w:rPr>
      </w:pPr>
      <w:r>
        <w:rPr>
          <w:rFonts w:hint="eastAsia" w:ascii="楷体_GB2312" w:hAnsi="Times New Roman" w:eastAsia="楷体_GB2312" w:cs="Droid Sans"/>
          <w:color w:val="000000"/>
          <w:sz w:val="32"/>
          <w:szCs w:val="32"/>
          <w:highlight w:val="none"/>
        </w:rPr>
        <w:t>（六）国有资本经营预算财政拨款情况说明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  <w:t>本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  <w:lang w:eastAsia="zh-CN"/>
        </w:rPr>
        <w:t>单位2022年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  <w:t>无国有资本经营预算财政拨款安排的预算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楷体_GB2312" w:hAnsi="Times New Roman" w:eastAsia="楷体_GB2312" w:cs="Droid Sans"/>
          <w:color w:val="000000"/>
          <w:sz w:val="32"/>
          <w:szCs w:val="32"/>
          <w:highlight w:val="none"/>
        </w:rPr>
      </w:pPr>
      <w:r>
        <w:rPr>
          <w:rFonts w:hint="eastAsia" w:ascii="楷体_GB2312" w:hAnsi="Times New Roman" w:eastAsia="楷体_GB2312" w:cs="Droid Sans"/>
          <w:color w:val="000000"/>
          <w:sz w:val="32"/>
          <w:szCs w:val="32"/>
          <w:highlight w:val="none"/>
        </w:rPr>
        <w:t>（七）国有资产占用情况说明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  <w:t>截至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  <w:lang w:eastAsia="zh-CN"/>
        </w:rPr>
        <w:t>2021年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  <w:t>底，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  <w:lang w:eastAsia="zh-CN"/>
        </w:rPr>
        <w:t>本单位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  <w:t>共有车辆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  <w:t>，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  <w:lang w:eastAsia="zh-CN"/>
        </w:rPr>
        <w:t>共计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  <w:lang w:val="en-US" w:eastAsia="zh-CN"/>
        </w:rPr>
        <w:t>16.23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  <w:t>万元；单位价值50万元以上的通用设备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  <w:t>台（套）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  <w:lang w:eastAsia="zh-CN"/>
        </w:rPr>
        <w:t>，共计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  <w:lang w:val="en-US" w:eastAsia="zh-CN"/>
        </w:rPr>
        <w:t>156.79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  <w:t>万元，单位价值100万元以上的专用设备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  <w:t>台（套）、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  <w:lang w:eastAsia="zh-CN"/>
        </w:rPr>
        <w:t>共计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pacing w:val="-2"/>
          <w:sz w:val="32"/>
          <w:szCs w:val="32"/>
          <w:highlight w:val="none"/>
        </w:rPr>
      </w:pPr>
      <w:r>
        <w:rPr>
          <w:rFonts w:hint="eastAsia" w:ascii="黑体" w:hAnsi="Times New Roman" w:eastAsia="黑体" w:cs="Droid Sans"/>
          <w:color w:val="000000"/>
          <w:sz w:val="32"/>
          <w:szCs w:val="32"/>
          <w:highlight w:val="none"/>
        </w:rPr>
        <w:t>六、名词解释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  <w:t>基本支出：指为保障机构正常运转、完成日常工作任务而发生的人员支出和公用支出。</w:t>
      </w:r>
    </w:p>
    <w:p>
      <w:pPr>
        <w:spacing w:line="560" w:lineRule="exact"/>
        <w:ind w:firstLine="640" w:firstLineChars="200"/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  <w:t>“三公”经费财政拨款预算数：指本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  <w:t>当年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  <w:t>预算安排的因公出国（境）费用、公务接待费、公务用车购置和运行维护费预算数。</w:t>
      </w:r>
    </w:p>
    <w:p>
      <w:pPr>
        <w:spacing w:line="560" w:lineRule="exact"/>
        <w:jc w:val="center"/>
        <w:rPr>
          <w:rFonts w:hint="eastAsia" w:ascii="方正小标宋简体" w:hAnsi="Times New Roman" w:eastAsia="方正小标宋简体" w:cs="Droid Sans"/>
          <w:color w:val="000000"/>
          <w:sz w:val="36"/>
          <w:szCs w:val="36"/>
        </w:rPr>
      </w:pPr>
    </w:p>
    <w:p>
      <w:pPr>
        <w:spacing w:line="560" w:lineRule="exact"/>
        <w:jc w:val="center"/>
        <w:rPr>
          <w:rFonts w:hint="eastAsia" w:ascii="方正小标宋简体" w:hAnsi="Times New Roman" w:eastAsia="方正小标宋简体" w:cs="Droid Sans"/>
          <w:color w:val="000000"/>
          <w:sz w:val="36"/>
          <w:szCs w:val="36"/>
        </w:rPr>
      </w:pPr>
      <w:r>
        <w:rPr>
          <w:rFonts w:hint="eastAsia" w:ascii="方正小标宋简体" w:hAnsi="Times New Roman" w:eastAsia="方正小标宋简体" w:cs="Droid Sans"/>
          <w:color w:val="000000"/>
          <w:sz w:val="36"/>
          <w:szCs w:val="36"/>
        </w:rPr>
        <w:t xml:space="preserve">第二部分  </w:t>
      </w:r>
      <w:r>
        <w:rPr>
          <w:rFonts w:hint="eastAsia" w:ascii="方正小标宋简体" w:hAnsi="Times New Roman" w:eastAsia="方正小标宋简体" w:cs="Droid Sans"/>
          <w:color w:val="000000"/>
          <w:sz w:val="36"/>
          <w:szCs w:val="36"/>
          <w:lang w:eastAsia="zh-CN"/>
        </w:rPr>
        <w:t>2022年单位</w:t>
      </w:r>
      <w:r>
        <w:rPr>
          <w:rFonts w:hint="eastAsia" w:ascii="方正小标宋简体" w:hAnsi="Times New Roman" w:eastAsia="方正小标宋简体" w:cs="Droid Sans"/>
          <w:color w:val="000000"/>
          <w:sz w:val="36"/>
          <w:szCs w:val="36"/>
        </w:rPr>
        <w:t>预算报表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hint="eastAsia" w:ascii="方正小标宋简体" w:hAnsi="Times New Roman" w:eastAsia="方正小标宋简体" w:cs="Droid Sans"/>
          <w:color w:val="000000"/>
          <w:sz w:val="36"/>
          <w:szCs w:val="36"/>
        </w:rPr>
      </w:pPr>
    </w:p>
    <w:p>
      <w:pPr>
        <w:spacing w:line="560" w:lineRule="exact"/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附件：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北京市纺织服装职业技能培训学校2022年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度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Times New Roman" w:eastAsia="仿宋_GB2312" w:cs="Droid Sans"/>
          <w:color w:val="000000"/>
          <w:sz w:val="32"/>
          <w:szCs w:val="32"/>
        </w:rPr>
        <w:t>预算报表</w:t>
      </w:r>
      <w:r>
        <w:rPr>
          <w:rFonts w:hint="eastAsia" w:ascii="仿宋_GB2312" w:hAnsi="Times New Roman" w:eastAsia="仿宋_GB2312" w:cs="宋体"/>
          <w:color w:val="000000"/>
          <w:kern w:val="0"/>
          <w:sz w:val="32"/>
          <w:szCs w:val="32"/>
          <w:lang w:val="zh-CN" w:eastAsia="zh-CN" w:bidi="ar-SA"/>
        </w:rPr>
        <w:t xml:space="preserve"> </w:t>
      </w:r>
    </w:p>
    <w:p>
      <w:pPr>
        <w:spacing w:line="560" w:lineRule="exact"/>
        <w:rPr>
          <w:rFonts w:hint="eastAsia" w:ascii="仿宋_GB2312" w:hAnsi="Times New Roman" w:eastAsia="仿宋_GB2312" w:cs="Droid Sans"/>
          <w:color w:val="000000"/>
          <w:sz w:val="32"/>
          <w:szCs w:val="32"/>
          <w:highlight w:val="none"/>
        </w:rPr>
      </w:pPr>
    </w:p>
    <w:p>
      <w:pPr>
        <w:rPr>
          <w:rFonts w:hint="eastAsia"/>
          <w:b w:val="0"/>
          <w:bCs w:val="0"/>
          <w:sz w:val="36"/>
          <w:szCs w:val="44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Droid S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93C30D"/>
    <w:multiLevelType w:val="singleLevel"/>
    <w:tmpl w:val="8693C30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A0EDE18"/>
    <w:multiLevelType w:val="singleLevel"/>
    <w:tmpl w:val="7A0EDE1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2583"/>
    <w:rsid w:val="04074CF0"/>
    <w:rsid w:val="0A185E82"/>
    <w:rsid w:val="0EA43025"/>
    <w:rsid w:val="114B1E71"/>
    <w:rsid w:val="11771857"/>
    <w:rsid w:val="12435C92"/>
    <w:rsid w:val="17EC6540"/>
    <w:rsid w:val="25BE7507"/>
    <w:rsid w:val="27CB42B5"/>
    <w:rsid w:val="27F41BF7"/>
    <w:rsid w:val="47B83F47"/>
    <w:rsid w:val="48EB3E85"/>
    <w:rsid w:val="49883A6B"/>
    <w:rsid w:val="4F775319"/>
    <w:rsid w:val="4FBB285B"/>
    <w:rsid w:val="532E777F"/>
    <w:rsid w:val="53ED07E1"/>
    <w:rsid w:val="5596687A"/>
    <w:rsid w:val="5A2962C3"/>
    <w:rsid w:val="61B74DF0"/>
    <w:rsid w:val="651B358E"/>
    <w:rsid w:val="658D5919"/>
    <w:rsid w:val="65BE264A"/>
    <w:rsid w:val="65C00320"/>
    <w:rsid w:val="680A0702"/>
    <w:rsid w:val="6D491053"/>
    <w:rsid w:val="718210B2"/>
    <w:rsid w:val="7E342C8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0" w:beforeAutospacing="1" w:after="100" w:afterAutospacing="1"/>
      <w:jc w:val="both"/>
      <w:outlineLvl w:val="1"/>
    </w:pPr>
    <w:rPr>
      <w:rFonts w:ascii="Cambria" w:hAnsi="Cambria" w:eastAsia="黑体" w:cs="Times New Roman"/>
      <w:b/>
      <w:bCs/>
      <w:kern w:val="0"/>
      <w:sz w:val="36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Office_10.8.0.5800_F1E327BC-269C-435d-A152-05C5408002CA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2022-02-07T07:00:00Z</dcterms:created>
  <dc:creator>dell</dc:creator>
  <cp:lastModifiedBy>李凌</cp:lastModifiedBy>
  <cp:lastPrinted>2022-02-08T01:35:00Z</cp:lastPrinted>
  <dcterms:modified xsi:type="dcterms:W3CDTF">2022-02-11T01:06:32Z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2052-10.8.0.5800</vt:lpwstr>
  </property>
  <property fmtid="{D5CDD505-2E9C-101B-9397-08002B2CF9AE}" pid="3" name="ICV">
    <vt:lpwstr>35FC84B4C2E245B387816A6A5C805373</vt:lpwstr>
  </property>
</Properties>
</file>