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72"/>
          <w:szCs w:val="72"/>
        </w:rPr>
      </w:pPr>
    </w:p>
    <w:p>
      <w:pPr>
        <w:pStyle w:val="4"/>
        <w:rPr>
          <w:rFonts w:hint="eastAsia"/>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val="en-US" w:eastAsia="zh-CN"/>
        </w:rPr>
      </w:pPr>
      <w:r>
        <w:rPr>
          <w:rFonts w:hint="eastAsia" w:ascii="黑体" w:eastAsia="黑体"/>
          <w:sz w:val="72"/>
          <w:szCs w:val="72"/>
          <w:lang w:val="en-US" w:eastAsia="zh-CN"/>
        </w:rPr>
        <w:t>北京纺织控股有限责任公司老干部活动站</w:t>
      </w:r>
    </w:p>
    <w:p>
      <w:pPr>
        <w:jc w:val="center"/>
        <w:rPr>
          <w:rFonts w:ascii="黑体" w:eastAsia="黑体"/>
          <w:sz w:val="52"/>
          <w:szCs w:val="52"/>
        </w:rPr>
      </w:pPr>
      <w:r>
        <w:rPr>
          <w:rFonts w:hint="eastAsia" w:ascii="黑体" w:eastAsia="黑体"/>
          <w:sz w:val="72"/>
          <w:szCs w:val="72"/>
        </w:rPr>
        <w:t>202</w:t>
      </w:r>
      <w:r>
        <w:rPr>
          <w:rFonts w:ascii="黑体" w:eastAsia="黑体"/>
          <w:sz w:val="72"/>
          <w:szCs w:val="72"/>
        </w:rPr>
        <w:t>1</w:t>
      </w:r>
      <w:r>
        <w:rPr>
          <w:rFonts w:hint="eastAsia" w:ascii="黑体" w:eastAsia="黑体"/>
          <w:sz w:val="72"/>
          <w:szCs w:val="72"/>
        </w:rPr>
        <w:t>年度部门决算</w:t>
      </w:r>
    </w:p>
    <w:p>
      <w:pPr>
        <w:jc w:val="center"/>
        <w:rPr>
          <w:rFonts w:ascii="黑体" w:eastAsia="黑体"/>
          <w:sz w:val="52"/>
          <w:szCs w:val="52"/>
        </w:rPr>
      </w:pPr>
    </w:p>
    <w:p>
      <w:pPr>
        <w:pStyle w:val="4"/>
        <w:rPr>
          <w:rFonts w:ascii="黑体" w:eastAsia="黑体"/>
          <w:sz w:val="52"/>
          <w:szCs w:val="52"/>
        </w:rPr>
      </w:pPr>
    </w:p>
    <w:p>
      <w:pPr>
        <w:pStyle w:val="4"/>
        <w:rPr>
          <w:rFonts w:ascii="黑体" w:eastAsia="黑体"/>
          <w:sz w:val="52"/>
          <w:szCs w:val="52"/>
        </w:rPr>
      </w:pPr>
    </w:p>
    <w:p>
      <w:pPr>
        <w:pStyle w:val="4"/>
        <w:rPr>
          <w:rFonts w:ascii="黑体" w:eastAsia="黑体"/>
          <w:sz w:val="52"/>
          <w:szCs w:val="52"/>
        </w:rPr>
      </w:pPr>
    </w:p>
    <w:p>
      <w:pPr>
        <w:jc w:val="center"/>
        <w:rPr>
          <w:rFonts w:ascii="黑体" w:eastAsia="黑体"/>
          <w:sz w:val="52"/>
          <w:szCs w:val="52"/>
        </w:rPr>
      </w:pPr>
    </w:p>
    <w:p>
      <w:pPr>
        <w:spacing w:line="500" w:lineRule="exact"/>
        <w:ind w:firstLine="645"/>
        <w:jc w:val="center"/>
        <w:rPr>
          <w:rFonts w:hint="eastAsia" w:ascii="宋体" w:hAnsi="宋体" w:cs="宋体"/>
          <w:b/>
          <w:bCs/>
          <w:kern w:val="0"/>
          <w:sz w:val="36"/>
          <w:szCs w:val="36"/>
        </w:rPr>
      </w:pPr>
      <w:r>
        <w:rPr>
          <w:rFonts w:hint="eastAsia" w:ascii="宋体" w:hAnsi="宋体" w:cs="宋体"/>
          <w:b/>
          <w:bCs/>
          <w:kern w:val="0"/>
          <w:sz w:val="44"/>
          <w:szCs w:val="36"/>
        </w:rPr>
        <w:t>目    录</w:t>
      </w:r>
    </w:p>
    <w:p>
      <w:pPr>
        <w:tabs>
          <w:tab w:val="center" w:pos="6979"/>
        </w:tabs>
        <w:spacing w:before="312" w:beforeLines="10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ascii="宋体" w:hAnsi="宋体" w:cs="宋体"/>
          <w:bCs/>
          <w:spacing w:val="40"/>
          <w:kern w:val="0"/>
          <w:sz w:val="32"/>
          <w:szCs w:val="32"/>
        </w:rPr>
        <w:t>1</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支出</w:t>
      </w:r>
      <w:r>
        <w:rPr>
          <w:rFonts w:ascii="仿宋_GB2312" w:hAnsi="仿宋" w:eastAsia="仿宋_GB2312" w:cs="宋体"/>
          <w:bCs/>
          <w:spacing w:val="40"/>
          <w:kern w:val="0"/>
          <w:sz w:val="32"/>
          <w:szCs w:val="32"/>
        </w:rPr>
        <w:t>情况表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ascii="宋体" w:hAnsi="宋体"/>
          <w:spacing w:val="40"/>
          <w:sz w:val="32"/>
          <w:szCs w:val="32"/>
        </w:rPr>
        <w:t>1</w:t>
      </w:r>
      <w:r>
        <w:rPr>
          <w:rFonts w:hint="eastAsia" w:ascii="宋体" w:hAnsi="宋体"/>
          <w:spacing w:val="40"/>
          <w:sz w:val="32"/>
          <w:szCs w:val="32"/>
        </w:rPr>
        <w:t>年度部门决算说明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ascii="宋体" w:hAnsi="宋体"/>
          <w:spacing w:val="40"/>
          <w:sz w:val="32"/>
          <w:szCs w:val="32"/>
        </w:rPr>
        <w:t>1</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ascii="宋体" w:hAnsi="宋体" w:cs="宋体"/>
          <w:spacing w:val="40"/>
          <w:kern w:val="0"/>
          <w:sz w:val="32"/>
          <w:szCs w:val="32"/>
        </w:rPr>
        <w:t>1</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44"/>
          <w:szCs w:val="44"/>
        </w:rPr>
      </w:pPr>
      <w:r>
        <w:rPr>
          <w:rFonts w:hint="eastAsia" w:ascii="宋体" w:hAnsi="宋体" w:cs="宋体"/>
          <w:b/>
          <w:bCs/>
          <w:spacing w:val="40"/>
          <w:kern w:val="0"/>
          <w:sz w:val="44"/>
          <w:szCs w:val="44"/>
        </w:rPr>
        <w:t>第一部分 202</w:t>
      </w:r>
      <w:r>
        <w:rPr>
          <w:rFonts w:ascii="宋体" w:hAnsi="宋体" w:cs="宋体"/>
          <w:b/>
          <w:bCs/>
          <w:spacing w:val="40"/>
          <w:kern w:val="0"/>
          <w:sz w:val="44"/>
          <w:szCs w:val="44"/>
        </w:rPr>
        <w:t>1</w:t>
      </w:r>
      <w:r>
        <w:rPr>
          <w:rFonts w:hint="eastAsia" w:ascii="宋体" w:hAnsi="宋体" w:cs="宋体"/>
          <w:b/>
          <w:bCs/>
          <w:spacing w:val="40"/>
          <w:kern w:val="0"/>
          <w:sz w:val="44"/>
          <w:szCs w:val="44"/>
        </w:rPr>
        <w:t>年度部门决算报表</w:t>
      </w:r>
    </w:p>
    <w:p>
      <w:pPr>
        <w:tabs>
          <w:tab w:val="center" w:pos="6979"/>
        </w:tabs>
        <w:spacing w:before="156" w:beforeLines="50" w:after="156" w:afterLines="50"/>
        <w:jc w:val="center"/>
        <w:rPr>
          <w:rFonts w:hint="eastAsia" w:ascii="仿宋_GB2312" w:hAnsi="宋体" w:eastAsia="仿宋_GB2312" w:cs="宋体"/>
          <w:bCs/>
          <w:spacing w:val="40"/>
          <w:kern w:val="0"/>
          <w:sz w:val="32"/>
          <w:szCs w:val="32"/>
        </w:rPr>
      </w:pPr>
    </w:p>
    <w:p>
      <w:pPr>
        <w:tabs>
          <w:tab w:val="center" w:pos="6979"/>
        </w:tabs>
        <w:spacing w:before="156" w:beforeLines="50" w:after="156" w:afterLines="50"/>
        <w:jc w:val="center"/>
        <w:rPr>
          <w:rFonts w:hint="eastAsia" w:ascii="仿宋_GB2312" w:hAnsi="宋体" w:eastAsia="仿宋_GB2312" w:cs="宋体"/>
          <w:bCs/>
          <w:spacing w:val="40"/>
          <w:kern w:val="0"/>
          <w:sz w:val="32"/>
          <w:szCs w:val="32"/>
        </w:rPr>
      </w:pPr>
      <w:r>
        <w:rPr>
          <w:rFonts w:hint="eastAsia" w:ascii="仿宋_GB2312" w:hAnsi="宋体" w:eastAsia="仿宋_GB2312" w:cs="宋体"/>
          <w:bCs/>
          <w:spacing w:val="40"/>
          <w:kern w:val="0"/>
          <w:sz w:val="32"/>
          <w:szCs w:val="32"/>
        </w:rPr>
        <w:t>报表详见附件</w:t>
      </w:r>
      <w:r>
        <w:rPr>
          <w:rFonts w:hint="eastAsia" w:ascii="仿宋_GB2312" w:hAnsi="宋体" w:eastAsia="仿宋_GB2312" w:cs="宋体"/>
          <w:bCs/>
          <w:spacing w:val="40"/>
          <w:kern w:val="0"/>
          <w:sz w:val="32"/>
          <w:szCs w:val="32"/>
          <w:lang w:val="en-US" w:eastAsia="zh-CN"/>
        </w:rPr>
        <w:t>1</w:t>
      </w:r>
      <w:r>
        <w:rPr>
          <w:rFonts w:hint="eastAsia" w:ascii="仿宋_GB2312" w:hAnsi="宋体" w:eastAsia="仿宋_GB2312" w:cs="宋体"/>
          <w:bCs/>
          <w:spacing w:val="40"/>
          <w:kern w:val="0"/>
          <w:sz w:val="32"/>
          <w:szCs w:val="32"/>
        </w:rPr>
        <w:t>。</w:t>
      </w:r>
    </w:p>
    <w:p>
      <w:pPr>
        <w:pStyle w:val="2"/>
        <w:rPr>
          <w:rFonts w:hint="eastAsia" w:ascii="仿宋_GB2312" w:hAnsi="宋体" w:eastAsia="仿宋_GB2312" w:cs="宋体"/>
          <w:bCs/>
          <w:spacing w:val="40"/>
          <w:kern w:val="0"/>
          <w:sz w:val="32"/>
          <w:szCs w:val="32"/>
        </w:rPr>
      </w:pPr>
    </w:p>
    <w:p>
      <w:pPr>
        <w:pStyle w:val="2"/>
        <w:rPr>
          <w:rFonts w:hint="eastAsia" w:ascii="仿宋_GB2312" w:hAnsi="宋体" w:eastAsia="仿宋_GB2312" w:cs="宋体"/>
          <w:bCs/>
          <w:spacing w:val="40"/>
          <w:kern w:val="0"/>
          <w:sz w:val="32"/>
          <w:szCs w:val="32"/>
        </w:rPr>
      </w:pPr>
    </w:p>
    <w:p>
      <w:pPr>
        <w:pStyle w:val="2"/>
        <w:rPr>
          <w:rFonts w:hint="eastAsia" w:ascii="仿宋_GB2312" w:hAnsi="宋体" w:eastAsia="仿宋_GB2312" w:cs="宋体"/>
          <w:bCs/>
          <w:spacing w:val="40"/>
          <w:kern w:val="0"/>
          <w:sz w:val="32"/>
          <w:szCs w:val="32"/>
        </w:rPr>
      </w:pPr>
    </w:p>
    <w:p>
      <w:pPr>
        <w:pStyle w:val="2"/>
        <w:rPr>
          <w:rFonts w:hint="eastAsia" w:ascii="仿宋_GB2312" w:hAnsi="宋体" w:eastAsia="仿宋_GB2312" w:cs="宋体"/>
          <w:bCs/>
          <w:spacing w:val="40"/>
          <w:kern w:val="0"/>
          <w:sz w:val="32"/>
          <w:szCs w:val="32"/>
        </w:rPr>
      </w:pPr>
    </w:p>
    <w:p>
      <w:pPr>
        <w:pStyle w:val="2"/>
        <w:rPr>
          <w:rFonts w:hint="eastAsia" w:ascii="仿宋_GB2312" w:hAnsi="宋体" w:eastAsia="仿宋_GB2312" w:cs="宋体"/>
          <w:bCs/>
          <w:spacing w:val="40"/>
          <w:kern w:val="0"/>
          <w:sz w:val="32"/>
          <w:szCs w:val="32"/>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ascii="宋体" w:hAnsi="宋体"/>
          <w:b/>
          <w:spacing w:val="40"/>
          <w:sz w:val="32"/>
          <w:szCs w:val="32"/>
        </w:rPr>
        <w:t>1</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ind w:firstLine="320" w:firstLineChars="100"/>
        <w:rPr>
          <w:rFonts w:ascii="仿宋" w:hAnsi="仿宋" w:eastAsia="仿宋" w:cs="宋体"/>
          <w:color w:val="333333"/>
          <w:kern w:val="0"/>
          <w:sz w:val="32"/>
          <w:szCs w:val="32"/>
        </w:rPr>
      </w:pPr>
      <w:r>
        <w:rPr>
          <w:rFonts w:hint="eastAsia" w:ascii="仿宋" w:hAnsi="仿宋" w:eastAsia="仿宋" w:cs="宋体"/>
          <w:color w:val="333333"/>
          <w:kern w:val="0"/>
          <w:sz w:val="32"/>
          <w:szCs w:val="32"/>
        </w:rPr>
        <w:t>（一）单位机构设置、职责</w:t>
      </w:r>
    </w:p>
    <w:p>
      <w:pPr>
        <w:ind w:firstLine="555"/>
        <w:rPr>
          <w:rFonts w:ascii="仿宋" w:hAnsi="仿宋" w:eastAsia="仿宋" w:cs="宋体"/>
          <w:color w:val="333333"/>
          <w:kern w:val="0"/>
          <w:sz w:val="32"/>
          <w:szCs w:val="32"/>
        </w:rPr>
      </w:pPr>
      <w:r>
        <w:rPr>
          <w:rFonts w:hint="eastAsia" w:ascii="仿宋" w:hAnsi="仿宋" w:eastAsia="仿宋" w:cs="宋体"/>
          <w:color w:val="333333"/>
          <w:kern w:val="0"/>
          <w:sz w:val="32"/>
          <w:szCs w:val="32"/>
        </w:rPr>
        <w:t>北京</w:t>
      </w:r>
      <w:r>
        <w:rPr>
          <w:rFonts w:hint="eastAsia" w:ascii="仿宋" w:hAnsi="仿宋" w:eastAsia="仿宋" w:cs="宋体"/>
          <w:color w:val="333333"/>
          <w:kern w:val="0"/>
          <w:sz w:val="32"/>
          <w:szCs w:val="32"/>
          <w:lang w:val="en-US" w:eastAsia="zh-CN"/>
        </w:rPr>
        <w:t>纺织控股有限责任公司老干部活动站</w:t>
      </w:r>
      <w:r>
        <w:rPr>
          <w:rFonts w:hint="eastAsia" w:ascii="仿宋" w:hAnsi="仿宋" w:eastAsia="仿宋" w:cs="宋体"/>
          <w:color w:val="333333"/>
          <w:kern w:val="0"/>
          <w:sz w:val="32"/>
          <w:szCs w:val="32"/>
        </w:rPr>
        <w:t>（以下简称“本单位”）成立于198</w:t>
      </w:r>
      <w:r>
        <w:rPr>
          <w:rFonts w:hint="eastAsia" w:ascii="仿宋" w:hAnsi="仿宋" w:eastAsia="仿宋" w:cs="宋体"/>
          <w:color w:val="333333"/>
          <w:kern w:val="0"/>
          <w:sz w:val="32"/>
          <w:szCs w:val="32"/>
          <w:lang w:val="en-US" w:eastAsia="zh-CN"/>
        </w:rPr>
        <w:t>3</w:t>
      </w:r>
      <w:r>
        <w:rPr>
          <w:rFonts w:hint="eastAsia" w:ascii="仿宋" w:hAnsi="仿宋" w:eastAsia="仿宋" w:cs="宋体"/>
          <w:color w:val="333333"/>
          <w:kern w:val="0"/>
          <w:sz w:val="32"/>
          <w:szCs w:val="32"/>
        </w:rPr>
        <w:t>年。单位性质：差额拨款事业单位；预算代码：116</w:t>
      </w:r>
      <w:r>
        <w:rPr>
          <w:rFonts w:hint="eastAsia" w:ascii="仿宋" w:hAnsi="仿宋" w:eastAsia="仿宋" w:cs="宋体"/>
          <w:color w:val="333333"/>
          <w:kern w:val="0"/>
          <w:sz w:val="32"/>
          <w:szCs w:val="32"/>
          <w:lang w:val="en-US" w:eastAsia="zh-CN"/>
        </w:rPr>
        <w:t>207</w:t>
      </w:r>
      <w:r>
        <w:rPr>
          <w:rFonts w:hint="eastAsia" w:ascii="仿宋" w:hAnsi="仿宋" w:eastAsia="仿宋" w:cs="宋体"/>
          <w:color w:val="333333"/>
          <w:kern w:val="0"/>
          <w:sz w:val="32"/>
          <w:szCs w:val="32"/>
        </w:rPr>
        <w:t>；主管部门：北京时尚控股有限责任公司；法定代表人：</w:t>
      </w:r>
      <w:r>
        <w:rPr>
          <w:rFonts w:hint="eastAsia" w:ascii="仿宋" w:hAnsi="仿宋" w:eastAsia="仿宋" w:cs="宋体"/>
          <w:color w:val="333333"/>
          <w:kern w:val="0"/>
          <w:sz w:val="32"/>
          <w:szCs w:val="32"/>
          <w:lang w:val="en-US" w:eastAsia="zh-CN"/>
        </w:rPr>
        <w:t>马广新；</w:t>
      </w:r>
      <w:r>
        <w:rPr>
          <w:rFonts w:hint="eastAsia" w:ascii="仿宋" w:hAnsi="仿宋" w:eastAsia="仿宋" w:cs="宋体"/>
          <w:color w:val="333333"/>
          <w:kern w:val="0"/>
          <w:sz w:val="32"/>
          <w:szCs w:val="32"/>
        </w:rPr>
        <w:t>单位地址：北京</w:t>
      </w:r>
      <w:r>
        <w:rPr>
          <w:rFonts w:hint="eastAsia" w:ascii="仿宋" w:hAnsi="仿宋" w:eastAsia="仿宋" w:cs="宋体"/>
          <w:color w:val="333333"/>
          <w:kern w:val="0"/>
          <w:sz w:val="32"/>
          <w:szCs w:val="32"/>
          <w:lang w:val="en-US" w:eastAsia="zh-CN"/>
        </w:rPr>
        <w:t>市朝阳区十里堡东里126号楼</w:t>
      </w:r>
      <w:r>
        <w:rPr>
          <w:rFonts w:hint="eastAsia" w:ascii="仿宋" w:hAnsi="仿宋" w:eastAsia="仿宋" w:cs="宋体"/>
          <w:color w:val="333333"/>
          <w:kern w:val="0"/>
          <w:sz w:val="32"/>
          <w:szCs w:val="32"/>
        </w:rPr>
        <w:t>。</w:t>
      </w:r>
    </w:p>
    <w:p>
      <w:pPr>
        <w:ind w:firstLine="555"/>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本单位主要职能为：负责</w:t>
      </w:r>
      <w:r>
        <w:rPr>
          <w:rFonts w:hint="eastAsia" w:ascii="仿宋" w:hAnsi="仿宋" w:eastAsia="仿宋" w:cs="宋体"/>
          <w:color w:val="333333"/>
          <w:kern w:val="0"/>
          <w:sz w:val="32"/>
          <w:szCs w:val="32"/>
          <w:lang w:val="en-US" w:eastAsia="zh-CN"/>
        </w:rPr>
        <w:t>系统</w:t>
      </w:r>
      <w:r>
        <w:rPr>
          <w:rFonts w:hint="eastAsia" w:ascii="仿宋" w:hAnsi="仿宋" w:eastAsia="仿宋" w:cs="宋体"/>
          <w:color w:val="333333"/>
          <w:kern w:val="0"/>
          <w:sz w:val="32"/>
          <w:szCs w:val="32"/>
        </w:rPr>
        <w:t>离退休干部政治、生活待遇</w:t>
      </w:r>
      <w:r>
        <w:rPr>
          <w:rFonts w:hint="eastAsia" w:ascii="仿宋" w:hAnsi="仿宋" w:eastAsia="仿宋" w:cs="宋体"/>
          <w:color w:val="333333"/>
          <w:kern w:val="0"/>
          <w:sz w:val="32"/>
          <w:szCs w:val="32"/>
          <w:lang w:val="en-US" w:eastAsia="zh-CN"/>
        </w:rPr>
        <w:t>的</w:t>
      </w:r>
      <w:r>
        <w:rPr>
          <w:rFonts w:hint="eastAsia" w:ascii="仿宋" w:hAnsi="仿宋" w:eastAsia="仿宋" w:cs="宋体"/>
          <w:color w:val="333333"/>
          <w:kern w:val="0"/>
          <w:sz w:val="32"/>
          <w:szCs w:val="32"/>
        </w:rPr>
        <w:t>落实工作；指导离退休党支部建设和老干部思想政治建设工作；</w:t>
      </w:r>
      <w:r>
        <w:rPr>
          <w:rFonts w:hint="eastAsia" w:ascii="仿宋" w:hAnsi="仿宋" w:eastAsia="仿宋" w:cs="宋体"/>
          <w:color w:val="333333"/>
          <w:kern w:val="0"/>
          <w:sz w:val="32"/>
          <w:szCs w:val="32"/>
          <w:lang w:val="en-US" w:eastAsia="zh-CN"/>
        </w:rPr>
        <w:t>负责组织系统离退休干部文体娱乐等活动；</w:t>
      </w:r>
      <w:r>
        <w:rPr>
          <w:rFonts w:hint="eastAsia" w:ascii="仿宋" w:hAnsi="仿宋" w:eastAsia="仿宋" w:cs="仿宋_GB2312"/>
          <w:sz w:val="32"/>
          <w:szCs w:val="32"/>
        </w:rPr>
        <w:t>加强对改制、破产企业离休干部的服务管理工作</w:t>
      </w:r>
      <w:r>
        <w:rPr>
          <w:rFonts w:hint="eastAsia" w:ascii="仿宋" w:hAnsi="仿宋" w:eastAsia="仿宋" w:cs="宋体"/>
          <w:color w:val="333333"/>
          <w:kern w:val="0"/>
          <w:sz w:val="32"/>
          <w:szCs w:val="32"/>
        </w:rPr>
        <w:t xml:space="preserve">。 </w:t>
      </w:r>
    </w:p>
    <w:p>
      <w:pPr>
        <w:ind w:firstLine="480" w:firstLineChars="150"/>
        <w:rPr>
          <w:rFonts w:ascii="仿宋" w:hAnsi="仿宋" w:eastAsia="仿宋" w:cs="宋体"/>
          <w:color w:val="333333"/>
          <w:kern w:val="0"/>
          <w:sz w:val="32"/>
          <w:szCs w:val="32"/>
        </w:rPr>
      </w:pPr>
      <w:r>
        <w:rPr>
          <w:rFonts w:hint="eastAsia" w:ascii="仿宋" w:hAnsi="仿宋" w:eastAsia="仿宋" w:cs="宋体"/>
          <w:color w:val="333333"/>
          <w:kern w:val="0"/>
          <w:sz w:val="32"/>
          <w:szCs w:val="32"/>
        </w:rPr>
        <w:t>（二）人员构成情况</w:t>
      </w:r>
    </w:p>
    <w:p>
      <w:pPr>
        <w:ind w:firstLine="555"/>
        <w:rPr>
          <w:rFonts w:ascii="仿宋" w:hAnsi="仿宋" w:eastAsia="仿宋" w:cs="宋体"/>
          <w:color w:val="333333"/>
          <w:kern w:val="0"/>
          <w:sz w:val="32"/>
          <w:szCs w:val="32"/>
        </w:rPr>
      </w:pPr>
      <w:r>
        <w:rPr>
          <w:rFonts w:hint="eastAsia" w:ascii="仿宋" w:hAnsi="仿宋" w:eastAsia="仿宋" w:cs="宋体"/>
          <w:color w:val="333333"/>
          <w:kern w:val="0"/>
          <w:sz w:val="32"/>
          <w:szCs w:val="32"/>
        </w:rPr>
        <w:t>北京</w:t>
      </w:r>
      <w:r>
        <w:rPr>
          <w:rFonts w:hint="eastAsia" w:ascii="仿宋" w:hAnsi="仿宋" w:eastAsia="仿宋" w:cs="宋体"/>
          <w:color w:val="333333"/>
          <w:kern w:val="0"/>
          <w:sz w:val="32"/>
          <w:szCs w:val="32"/>
          <w:lang w:val="en-US" w:eastAsia="zh-CN"/>
        </w:rPr>
        <w:t>纺织控股有限责任公司老干部活动站</w:t>
      </w:r>
      <w:r>
        <w:rPr>
          <w:rFonts w:hint="eastAsia" w:ascii="仿宋" w:hAnsi="仿宋" w:eastAsia="仿宋" w:cs="宋体"/>
          <w:color w:val="333333"/>
          <w:kern w:val="0"/>
          <w:sz w:val="32"/>
          <w:szCs w:val="32"/>
        </w:rPr>
        <w:t>事业编制</w:t>
      </w:r>
      <w:r>
        <w:rPr>
          <w:rFonts w:hint="eastAsia" w:ascii="仿宋" w:hAnsi="仿宋" w:eastAsia="仿宋" w:cs="宋体"/>
          <w:color w:val="333333"/>
          <w:kern w:val="0"/>
          <w:sz w:val="32"/>
          <w:szCs w:val="32"/>
          <w:lang w:val="en-US" w:eastAsia="zh-CN"/>
        </w:rPr>
        <w:t>6</w:t>
      </w:r>
      <w:r>
        <w:rPr>
          <w:rFonts w:hint="eastAsia" w:ascii="仿宋" w:hAnsi="仿宋" w:eastAsia="仿宋" w:cs="宋体"/>
          <w:color w:val="333333"/>
          <w:kern w:val="0"/>
          <w:sz w:val="32"/>
          <w:szCs w:val="32"/>
        </w:rPr>
        <w:t>人，实际</w:t>
      </w:r>
      <w:r>
        <w:rPr>
          <w:rFonts w:hint="eastAsia" w:ascii="仿宋" w:hAnsi="仿宋" w:eastAsia="仿宋" w:cs="宋体"/>
          <w:color w:val="333333"/>
          <w:kern w:val="0"/>
          <w:sz w:val="32"/>
          <w:szCs w:val="32"/>
          <w:lang w:val="en-US" w:eastAsia="zh-CN"/>
        </w:rPr>
        <w:t>1</w:t>
      </w:r>
      <w:r>
        <w:rPr>
          <w:rFonts w:hint="eastAsia" w:ascii="仿宋" w:hAnsi="仿宋" w:eastAsia="仿宋" w:cs="宋体"/>
          <w:color w:val="333333"/>
          <w:kern w:val="0"/>
          <w:sz w:val="32"/>
          <w:szCs w:val="32"/>
        </w:rPr>
        <w:t>人；聘用人员</w:t>
      </w:r>
      <w:r>
        <w:rPr>
          <w:rFonts w:hint="eastAsia" w:ascii="仿宋" w:hAnsi="仿宋" w:eastAsia="仿宋" w:cs="宋体"/>
          <w:color w:val="333333"/>
          <w:kern w:val="0"/>
          <w:sz w:val="32"/>
          <w:szCs w:val="32"/>
          <w:lang w:val="en-US" w:eastAsia="zh-CN"/>
        </w:rPr>
        <w:t>4</w:t>
      </w:r>
      <w:r>
        <w:rPr>
          <w:rFonts w:hint="eastAsia" w:ascii="仿宋" w:hAnsi="仿宋" w:eastAsia="仿宋" w:cs="宋体"/>
          <w:color w:val="333333"/>
          <w:kern w:val="0"/>
          <w:sz w:val="32"/>
          <w:szCs w:val="32"/>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w:t>
      </w:r>
      <w:r>
        <w:rPr>
          <w:rFonts w:hint="eastAsia" w:ascii="仿宋_GB2312" w:eastAsia="仿宋_GB2312"/>
          <w:sz w:val="28"/>
          <w:szCs w:val="28"/>
          <w:lang w:val="en-US" w:eastAsia="zh-CN"/>
        </w:rPr>
        <w:t>收、支总计43.87万元，</w:t>
      </w:r>
      <w:r>
        <w:rPr>
          <w:rFonts w:ascii="仿宋_GB2312" w:eastAsia="仿宋_GB2312"/>
          <w:sz w:val="28"/>
          <w:szCs w:val="28"/>
        </w:rPr>
        <w:t>比上年</w:t>
      </w:r>
      <w:r>
        <w:rPr>
          <w:rFonts w:hint="eastAsia" w:ascii="仿宋_GB2312" w:eastAsia="仿宋_GB2312"/>
          <w:sz w:val="28"/>
          <w:szCs w:val="28"/>
          <w:lang w:val="en-US" w:eastAsia="zh-CN"/>
        </w:rPr>
        <w:t>减少7.25</w:t>
      </w:r>
      <w:r>
        <w:rPr>
          <w:rFonts w:hint="eastAsia" w:ascii="仿宋_GB2312" w:eastAsia="仿宋_GB2312"/>
          <w:sz w:val="28"/>
          <w:szCs w:val="28"/>
        </w:rPr>
        <w:t>万元，</w:t>
      </w:r>
      <w:r>
        <w:rPr>
          <w:rFonts w:hint="eastAsia" w:ascii="仿宋_GB2312" w:eastAsia="仿宋_GB2312"/>
          <w:sz w:val="28"/>
          <w:szCs w:val="28"/>
          <w:lang w:val="en-US" w:eastAsia="zh-CN"/>
        </w:rPr>
        <w:t>下降14.18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年度本年收入合计</w:t>
      </w:r>
      <w:r>
        <w:rPr>
          <w:rFonts w:hint="eastAsia" w:ascii="仿宋_GB2312" w:eastAsia="仿宋_GB2312"/>
          <w:sz w:val="28"/>
          <w:szCs w:val="28"/>
          <w:lang w:val="en-US" w:eastAsia="zh-CN"/>
        </w:rPr>
        <w:t>43.43</w:t>
      </w:r>
      <w:r>
        <w:rPr>
          <w:rFonts w:hint="eastAsia" w:ascii="仿宋_GB2312" w:eastAsia="仿宋_GB2312"/>
          <w:sz w:val="28"/>
          <w:szCs w:val="28"/>
        </w:rPr>
        <w:t>万元，</w:t>
      </w:r>
      <w:r>
        <w:rPr>
          <w:rFonts w:ascii="仿宋_GB2312" w:eastAsia="仿宋_GB2312"/>
          <w:sz w:val="28"/>
          <w:szCs w:val="28"/>
        </w:rPr>
        <w:t>比上年</w:t>
      </w:r>
      <w:r>
        <w:rPr>
          <w:rFonts w:hint="default" w:ascii="仿宋_GB2312" w:eastAsia="仿宋_GB2312"/>
          <w:sz w:val="28"/>
          <w:szCs w:val="28"/>
          <w:lang w:val="en-US" w:eastAsia="zh-CN"/>
        </w:rPr>
        <w:t>减少7.25</w:t>
      </w:r>
      <w:r>
        <w:rPr>
          <w:rFonts w:hint="eastAsia" w:ascii="仿宋_GB2312" w:eastAsia="仿宋_GB2312"/>
          <w:sz w:val="28"/>
          <w:szCs w:val="28"/>
        </w:rPr>
        <w:t>万元，</w:t>
      </w:r>
      <w:r>
        <w:rPr>
          <w:rFonts w:hint="default" w:ascii="仿宋_GB2312" w:eastAsia="仿宋_GB2312"/>
          <w:sz w:val="28"/>
          <w:szCs w:val="28"/>
          <w:lang w:val="en-US" w:eastAsia="zh-CN"/>
        </w:rPr>
        <w:t>下降14.</w:t>
      </w:r>
      <w:r>
        <w:rPr>
          <w:rFonts w:hint="default" w:ascii="仿宋_GB2312" w:eastAsia="仿宋_GB2312"/>
          <w:sz w:val="28"/>
          <w:szCs w:val="28"/>
          <w:highlight w:val="none"/>
          <w:lang w:val="en-US" w:eastAsia="zh-CN"/>
        </w:rPr>
        <w:t>3</w:t>
      </w:r>
      <w:r>
        <w:rPr>
          <w:rFonts w:hint="eastAsia" w:ascii="仿宋_GB2312" w:eastAsia="仿宋_GB2312"/>
          <w:sz w:val="28"/>
          <w:szCs w:val="28"/>
          <w:highlight w:val="none"/>
          <w:lang w:val="en-US" w:eastAsia="zh-CN"/>
        </w:rPr>
        <w:t>1</w:t>
      </w:r>
      <w:r>
        <w:rPr>
          <w:rFonts w:hint="default" w:ascii="仿宋_GB2312" w:eastAsia="仿宋_GB2312"/>
          <w:sz w:val="28"/>
          <w:szCs w:val="28"/>
        </w:rPr>
        <w:t>%</w:t>
      </w:r>
      <w:r>
        <w:rPr>
          <w:rFonts w:hint="eastAsia" w:ascii="仿宋_GB2312" w:eastAsia="仿宋_GB2312"/>
          <w:sz w:val="28"/>
          <w:szCs w:val="28"/>
        </w:rPr>
        <w:t>，其中：财政拨款收入</w:t>
      </w:r>
      <w:r>
        <w:rPr>
          <w:rFonts w:hint="eastAsia" w:ascii="仿宋_GB2312" w:eastAsia="仿宋_GB2312"/>
          <w:sz w:val="28"/>
          <w:szCs w:val="28"/>
          <w:lang w:val="en-US" w:eastAsia="zh-CN"/>
        </w:rPr>
        <w:t>24.40</w:t>
      </w:r>
      <w:r>
        <w:rPr>
          <w:rFonts w:hint="eastAsia" w:ascii="仿宋_GB2312" w:eastAsia="仿宋_GB2312"/>
          <w:sz w:val="28"/>
          <w:szCs w:val="28"/>
        </w:rPr>
        <w:t>万元，占收入合计的</w:t>
      </w:r>
      <w:r>
        <w:rPr>
          <w:rFonts w:hint="eastAsia" w:ascii="仿宋_GB2312" w:eastAsia="仿宋_GB2312"/>
          <w:sz w:val="28"/>
          <w:szCs w:val="28"/>
          <w:lang w:val="en-US" w:eastAsia="zh-CN"/>
        </w:rPr>
        <w:t>56.18</w:t>
      </w:r>
      <w:r>
        <w:rPr>
          <w:rFonts w:hint="eastAsia" w:ascii="仿宋_GB2312" w:eastAsia="仿宋_GB2312"/>
          <w:sz w:val="28"/>
          <w:szCs w:val="28"/>
        </w:rPr>
        <w:t>%；其他收入</w:t>
      </w:r>
      <w:r>
        <w:rPr>
          <w:rFonts w:hint="eastAsia" w:ascii="仿宋_GB2312" w:eastAsia="仿宋_GB2312"/>
          <w:sz w:val="28"/>
          <w:szCs w:val="28"/>
          <w:lang w:val="en-US" w:eastAsia="zh-CN"/>
        </w:rPr>
        <w:t>19.03</w:t>
      </w:r>
      <w:r>
        <w:rPr>
          <w:rFonts w:hint="eastAsia" w:ascii="仿宋_GB2312" w:eastAsia="仿宋_GB2312"/>
          <w:sz w:val="28"/>
          <w:szCs w:val="28"/>
        </w:rPr>
        <w:t>万元，占收入合计的</w:t>
      </w:r>
      <w:r>
        <w:rPr>
          <w:rFonts w:hint="eastAsia" w:ascii="仿宋_GB2312" w:eastAsia="仿宋_GB2312"/>
          <w:sz w:val="28"/>
          <w:szCs w:val="28"/>
          <w:lang w:val="en-US" w:eastAsia="zh-CN"/>
        </w:rPr>
        <w:t>43.82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年度本年支出合计</w:t>
      </w:r>
      <w:r>
        <w:rPr>
          <w:rFonts w:hint="eastAsia" w:ascii="仿宋_GB2312" w:eastAsia="仿宋_GB2312"/>
          <w:sz w:val="28"/>
          <w:szCs w:val="28"/>
          <w:lang w:val="en-US" w:eastAsia="zh-CN"/>
        </w:rPr>
        <w:t>43.87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减少4.68</w:t>
      </w:r>
      <w:r>
        <w:rPr>
          <w:rFonts w:hint="eastAsia" w:ascii="仿宋_GB2312" w:eastAsia="仿宋_GB2312"/>
          <w:sz w:val="28"/>
          <w:szCs w:val="28"/>
        </w:rPr>
        <w:t>万元，</w:t>
      </w:r>
      <w:r>
        <w:rPr>
          <w:rFonts w:hint="eastAsia" w:ascii="仿宋_GB2312" w:eastAsia="仿宋_GB2312"/>
          <w:sz w:val="28"/>
          <w:szCs w:val="28"/>
          <w:lang w:val="en-US" w:eastAsia="zh-CN"/>
        </w:rPr>
        <w:t>降低9.64</w:t>
      </w:r>
      <w:r>
        <w:rPr>
          <w:rFonts w:hint="eastAsia" w:ascii="仿宋_GB2312" w:eastAsia="仿宋_GB2312"/>
          <w:sz w:val="28"/>
          <w:szCs w:val="28"/>
        </w:rPr>
        <w:t>%，其中：基本支出</w:t>
      </w:r>
      <w:r>
        <w:rPr>
          <w:rFonts w:hint="eastAsia" w:ascii="仿宋_GB2312" w:eastAsia="仿宋_GB2312"/>
          <w:sz w:val="28"/>
          <w:szCs w:val="28"/>
          <w:lang w:val="en-US" w:eastAsia="zh-CN"/>
        </w:rPr>
        <w:t>43.87</w:t>
      </w:r>
      <w:r>
        <w:rPr>
          <w:rFonts w:hint="eastAsia" w:ascii="仿宋_GB2312" w:eastAsia="仿宋_GB2312"/>
          <w:sz w:val="28"/>
          <w:szCs w:val="28"/>
        </w:rPr>
        <w:t>万元，占支出合计的</w:t>
      </w:r>
      <w:r>
        <w:rPr>
          <w:rFonts w:hint="eastAsia" w:ascii="仿宋_GB2312" w:eastAsia="仿宋_GB2312"/>
          <w:sz w:val="28"/>
          <w:szCs w:val="28"/>
          <w:lang w:val="en-US" w:eastAsia="zh-CN"/>
        </w:rPr>
        <w:t>100</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年度财政拨款收入</w:t>
      </w:r>
      <w:r>
        <w:rPr>
          <w:rFonts w:hint="eastAsia" w:ascii="仿宋_GB2312" w:eastAsia="仿宋_GB2312"/>
          <w:sz w:val="28"/>
          <w:szCs w:val="28"/>
          <w:lang w:val="en-US" w:eastAsia="zh-CN"/>
        </w:rPr>
        <w:t>24.40</w:t>
      </w:r>
      <w:r>
        <w:rPr>
          <w:rFonts w:hint="eastAsia" w:ascii="仿宋_GB2312" w:eastAsia="仿宋_GB2312"/>
          <w:sz w:val="28"/>
          <w:szCs w:val="28"/>
        </w:rPr>
        <w:t>万元，比上年减少</w:t>
      </w:r>
      <w:r>
        <w:rPr>
          <w:rFonts w:hint="eastAsia" w:ascii="仿宋_GB2312" w:eastAsia="仿宋_GB2312"/>
          <w:sz w:val="28"/>
          <w:szCs w:val="28"/>
          <w:lang w:val="en-US" w:eastAsia="zh-CN"/>
        </w:rPr>
        <w:t>0.83</w:t>
      </w:r>
      <w:r>
        <w:rPr>
          <w:rFonts w:hint="eastAsia" w:ascii="仿宋_GB2312" w:eastAsia="仿宋_GB2312"/>
          <w:sz w:val="28"/>
          <w:szCs w:val="28"/>
        </w:rPr>
        <w:t>万元，下降</w:t>
      </w:r>
      <w:r>
        <w:rPr>
          <w:rFonts w:hint="eastAsia" w:ascii="仿宋_GB2312" w:eastAsia="仿宋_GB2312"/>
          <w:sz w:val="28"/>
          <w:szCs w:val="28"/>
          <w:lang w:val="en-US" w:eastAsia="zh-CN"/>
        </w:rPr>
        <w:t>3.40</w:t>
      </w:r>
      <w:r>
        <w:rPr>
          <w:rFonts w:hint="eastAsia" w:ascii="仿宋_GB2312" w:eastAsia="仿宋_GB2312"/>
          <w:sz w:val="28"/>
          <w:szCs w:val="28"/>
        </w:rPr>
        <w:t>%。</w:t>
      </w:r>
      <w:r>
        <w:rPr>
          <w:rFonts w:ascii="仿宋_GB2312" w:eastAsia="仿宋_GB2312"/>
          <w:sz w:val="28"/>
          <w:szCs w:val="28"/>
        </w:rPr>
        <w:t>支</w:t>
      </w:r>
      <w:r>
        <w:rPr>
          <w:rFonts w:hint="eastAsia" w:ascii="仿宋_GB2312" w:eastAsia="仿宋_GB2312"/>
          <w:sz w:val="28"/>
          <w:szCs w:val="28"/>
          <w:lang w:val="en-US" w:eastAsia="zh-CN"/>
        </w:rPr>
        <w:t>出24.40</w:t>
      </w:r>
      <w:r>
        <w:rPr>
          <w:rFonts w:hint="eastAsia" w:ascii="仿宋_GB2312" w:eastAsia="仿宋_GB2312"/>
          <w:sz w:val="28"/>
          <w:szCs w:val="28"/>
        </w:rPr>
        <w:t>万元，比上年减少</w:t>
      </w:r>
      <w:r>
        <w:rPr>
          <w:rFonts w:hint="eastAsia" w:ascii="仿宋_GB2312" w:eastAsia="仿宋_GB2312"/>
          <w:sz w:val="28"/>
          <w:szCs w:val="28"/>
          <w:lang w:val="en-US" w:eastAsia="zh-CN"/>
        </w:rPr>
        <w:t>0.83</w:t>
      </w:r>
      <w:r>
        <w:rPr>
          <w:rFonts w:hint="eastAsia" w:ascii="仿宋_GB2312" w:eastAsia="仿宋_GB2312"/>
          <w:sz w:val="28"/>
          <w:szCs w:val="28"/>
        </w:rPr>
        <w:t>万元，下降</w:t>
      </w:r>
      <w:r>
        <w:rPr>
          <w:rFonts w:hint="eastAsia" w:ascii="仿宋_GB2312" w:eastAsia="仿宋_GB2312"/>
          <w:sz w:val="28"/>
          <w:szCs w:val="28"/>
          <w:lang w:val="en-US" w:eastAsia="zh-CN"/>
        </w:rPr>
        <w:t>3.40</w:t>
      </w:r>
      <w:r>
        <w:rPr>
          <w:rFonts w:hint="eastAsia" w:ascii="仿宋_GB2312" w:eastAsia="仿宋_GB2312"/>
          <w:sz w:val="28"/>
          <w:szCs w:val="28"/>
        </w:rPr>
        <w:t>%。主要</w:t>
      </w:r>
      <w:r>
        <w:rPr>
          <w:rFonts w:hint="eastAsia" w:ascii="仿宋_GB2312" w:eastAsia="仿宋_GB2312"/>
          <w:sz w:val="28"/>
          <w:szCs w:val="28"/>
          <w:lang w:val="en-US" w:eastAsia="zh-CN"/>
        </w:rPr>
        <w:t>原因：落实政府过紧日子要求，厉行节约，进一步压减支出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24.40</w:t>
      </w:r>
      <w:r>
        <w:rPr>
          <w:rFonts w:hint="eastAsia" w:ascii="仿宋_GB2312" w:eastAsia="仿宋_GB2312"/>
          <w:sz w:val="28"/>
          <w:szCs w:val="28"/>
        </w:rPr>
        <w:t>万元，主要用于以下方面：资源勘探信息等支出</w:t>
      </w:r>
      <w:r>
        <w:rPr>
          <w:rFonts w:hint="eastAsia" w:ascii="仿宋_GB2312" w:eastAsia="仿宋_GB2312"/>
          <w:sz w:val="28"/>
          <w:szCs w:val="28"/>
          <w:lang w:val="en-US" w:eastAsia="zh-CN"/>
        </w:rPr>
        <w:t>24.40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1、“资源勘探工业信息等支出”202</w:t>
      </w:r>
      <w:r>
        <w:rPr>
          <w:rFonts w:hint="eastAsia" w:ascii="仿宋_GB2312" w:eastAsia="仿宋_GB2312"/>
          <w:sz w:val="28"/>
          <w:szCs w:val="28"/>
          <w:lang w:val="en-US" w:eastAsia="zh-CN"/>
        </w:rPr>
        <w:t>1</w:t>
      </w:r>
      <w:r>
        <w:rPr>
          <w:rFonts w:hint="eastAsia" w:ascii="仿宋_GB2312" w:eastAsia="仿宋_GB2312"/>
          <w:sz w:val="28"/>
          <w:szCs w:val="28"/>
        </w:rPr>
        <w:t>年度决算</w:t>
      </w:r>
      <w:r>
        <w:rPr>
          <w:rFonts w:hint="eastAsia" w:ascii="仿宋_GB2312" w:eastAsia="仿宋_GB2312"/>
          <w:sz w:val="28"/>
          <w:szCs w:val="28"/>
          <w:lang w:val="en-US" w:eastAsia="zh-CN"/>
        </w:rPr>
        <w:t>24.40</w:t>
      </w:r>
      <w:r>
        <w:rPr>
          <w:rFonts w:hint="eastAsia" w:ascii="仿宋_GB2312" w:eastAsia="仿宋_GB2312"/>
          <w:sz w:val="28"/>
          <w:szCs w:val="28"/>
        </w:rPr>
        <w:t>万元，比202</w:t>
      </w:r>
      <w:r>
        <w:rPr>
          <w:rFonts w:hint="eastAsia" w:ascii="仿宋_GB2312" w:eastAsia="仿宋_GB2312"/>
          <w:sz w:val="28"/>
          <w:szCs w:val="28"/>
          <w:lang w:val="en-US" w:eastAsia="zh-CN"/>
        </w:rPr>
        <w:t>1</w:t>
      </w:r>
      <w:r>
        <w:rPr>
          <w:rFonts w:hint="eastAsia" w:ascii="仿宋_GB2312" w:eastAsia="仿宋_GB2312"/>
          <w:sz w:val="28"/>
          <w:szCs w:val="28"/>
        </w:rPr>
        <w:t>年年初预算增加</w:t>
      </w:r>
      <w:r>
        <w:rPr>
          <w:rFonts w:hint="eastAsia" w:ascii="仿宋_GB2312" w:eastAsia="仿宋_GB2312"/>
          <w:sz w:val="28"/>
          <w:szCs w:val="28"/>
          <w:lang w:val="en-US" w:eastAsia="zh-CN"/>
        </w:rPr>
        <w:t>0.21</w:t>
      </w:r>
      <w:r>
        <w:rPr>
          <w:rFonts w:hint="eastAsia" w:ascii="仿宋_GB2312" w:eastAsia="仿宋_GB2312"/>
          <w:sz w:val="28"/>
          <w:szCs w:val="28"/>
        </w:rPr>
        <w:t>万元，增长</w:t>
      </w:r>
      <w:r>
        <w:rPr>
          <w:rFonts w:hint="eastAsia" w:ascii="仿宋_GB2312" w:eastAsia="仿宋_GB2312"/>
          <w:sz w:val="28"/>
          <w:szCs w:val="28"/>
          <w:lang w:val="en-US" w:eastAsia="zh-CN"/>
        </w:rPr>
        <w:t>0.87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“其他制造业支出”202</w:t>
      </w:r>
      <w:r>
        <w:rPr>
          <w:rFonts w:hint="eastAsia" w:ascii="仿宋_GB2312" w:eastAsia="仿宋_GB2312"/>
          <w:sz w:val="28"/>
          <w:szCs w:val="28"/>
          <w:lang w:val="en-US" w:eastAsia="zh-CN"/>
        </w:rPr>
        <w:t>1</w:t>
      </w:r>
      <w:r>
        <w:rPr>
          <w:rFonts w:hint="eastAsia" w:ascii="仿宋_GB2312" w:eastAsia="仿宋_GB2312"/>
          <w:sz w:val="28"/>
          <w:szCs w:val="28"/>
        </w:rPr>
        <w:t>年度决算</w:t>
      </w:r>
      <w:r>
        <w:rPr>
          <w:rFonts w:hint="eastAsia" w:ascii="仿宋_GB2312" w:eastAsia="仿宋_GB2312"/>
          <w:sz w:val="28"/>
          <w:szCs w:val="28"/>
          <w:lang w:val="en-US" w:eastAsia="zh-CN"/>
        </w:rPr>
        <w:t>24.40</w:t>
      </w:r>
      <w:r>
        <w:rPr>
          <w:rFonts w:hint="eastAsia" w:ascii="仿宋_GB2312" w:eastAsia="仿宋_GB2312"/>
          <w:sz w:val="28"/>
          <w:szCs w:val="28"/>
        </w:rPr>
        <w:t>万元，比202</w:t>
      </w:r>
      <w:r>
        <w:rPr>
          <w:rFonts w:hint="eastAsia" w:ascii="仿宋_GB2312" w:eastAsia="仿宋_GB2312"/>
          <w:sz w:val="28"/>
          <w:szCs w:val="28"/>
          <w:lang w:val="en-US" w:eastAsia="zh-CN"/>
        </w:rPr>
        <w:t>1</w:t>
      </w:r>
      <w:r>
        <w:rPr>
          <w:rFonts w:hint="eastAsia" w:ascii="仿宋_GB2312" w:eastAsia="仿宋_GB2312"/>
          <w:sz w:val="28"/>
          <w:szCs w:val="28"/>
        </w:rPr>
        <w:t>年年初预算增加</w:t>
      </w:r>
      <w:r>
        <w:rPr>
          <w:rFonts w:hint="eastAsia" w:ascii="仿宋_GB2312" w:eastAsia="仿宋_GB2312"/>
          <w:sz w:val="28"/>
          <w:szCs w:val="28"/>
          <w:lang w:val="en-US" w:eastAsia="zh-CN"/>
        </w:rPr>
        <w:t>0.21</w:t>
      </w:r>
      <w:r>
        <w:rPr>
          <w:rFonts w:hint="eastAsia" w:ascii="仿宋_GB2312" w:eastAsia="仿宋_GB2312"/>
          <w:sz w:val="28"/>
          <w:szCs w:val="28"/>
        </w:rPr>
        <w:t>万元，增长</w:t>
      </w:r>
      <w:r>
        <w:rPr>
          <w:rFonts w:hint="eastAsia" w:ascii="仿宋_GB2312" w:eastAsia="仿宋_GB2312"/>
          <w:sz w:val="28"/>
          <w:szCs w:val="28"/>
          <w:lang w:val="en-US" w:eastAsia="zh-CN"/>
        </w:rPr>
        <w:t>0.87</w:t>
      </w:r>
      <w:r>
        <w:rPr>
          <w:rFonts w:hint="eastAsia" w:ascii="仿宋_GB2312" w:eastAsia="仿宋_GB2312"/>
          <w:sz w:val="28"/>
          <w:szCs w:val="28"/>
        </w:rPr>
        <w:t>%。主要原因：落实全市调整政策。</w:t>
      </w:r>
    </w:p>
    <w:p>
      <w:pPr>
        <w:spacing w:line="580" w:lineRule="exact"/>
        <w:ind w:firstLine="560" w:firstLineChars="200"/>
        <w:rPr>
          <w:rFonts w:hint="eastAsia" w:ascii="仿宋_GB2312" w:eastAsia="仿宋_GB2312"/>
          <w:sz w:val="28"/>
          <w:szCs w:val="28"/>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pPr>
        <w:ind w:firstLine="560" w:firstLineChars="200"/>
        <w:rPr>
          <w:rFonts w:hint="eastAsia" w:ascii="黑体" w:eastAsia="黑体"/>
          <w:sz w:val="28"/>
          <w:szCs w:val="28"/>
        </w:rPr>
      </w:pPr>
      <w:r>
        <w:rPr>
          <w:rFonts w:hint="eastAsia" w:ascii="黑体" w:eastAsia="黑体"/>
          <w:b/>
          <w:sz w:val="28"/>
          <w:szCs w:val="28"/>
        </w:rPr>
        <w:t>六、</w:t>
      </w:r>
      <w:r>
        <w:rPr>
          <w:rFonts w:hint="eastAsia" w:ascii="黑体" w:eastAsia="黑体"/>
          <w:sz w:val="28"/>
          <w:szCs w:val="28"/>
        </w:rPr>
        <w:t>国有资本经营预算财</w:t>
      </w:r>
      <w:r>
        <w:rPr>
          <w:rFonts w:ascii="黑体" w:eastAsia="黑体"/>
          <w:sz w:val="28"/>
          <w:szCs w:val="28"/>
        </w:rPr>
        <w:t>政拨款</w:t>
      </w:r>
      <w:r>
        <w:rPr>
          <w:rFonts w:hint="eastAsia" w:ascii="黑体" w:eastAsia="黑体"/>
          <w:sz w:val="28"/>
          <w:szCs w:val="28"/>
        </w:rPr>
        <w:t>收支情况</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本年度无此项</w:t>
      </w:r>
      <w:r>
        <w:rPr>
          <w:rFonts w:ascii="仿宋_GB2312" w:eastAsia="仿宋_GB2312"/>
          <w:sz w:val="28"/>
          <w:szCs w:val="28"/>
        </w:rPr>
        <w:t>经费</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lang w:val="en-US" w:eastAsia="zh-CN"/>
        </w:rPr>
        <w:t>七、</w:t>
      </w:r>
      <w:r>
        <w:rPr>
          <w:rFonts w:hint="eastAsia" w:ascii="黑体" w:eastAsia="黑体"/>
          <w:b/>
          <w:sz w:val="28"/>
          <w:szCs w:val="28"/>
        </w:rPr>
        <w:t>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年使用一般公共预算财政拨款安排基本支出</w:t>
      </w:r>
      <w:r>
        <w:rPr>
          <w:rFonts w:hint="eastAsia" w:ascii="仿宋_GB2312" w:eastAsia="仿宋_GB2312"/>
          <w:sz w:val="28"/>
          <w:szCs w:val="28"/>
          <w:lang w:val="en-US" w:eastAsia="zh-CN"/>
        </w:rPr>
        <w:t>24.40</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b/>
          <w:spacing w:val="40"/>
          <w:sz w:val="32"/>
          <w:szCs w:val="32"/>
        </w:rPr>
      </w:pPr>
      <w:r>
        <w:rPr>
          <w:rFonts w:ascii="仿宋_GB2312" w:eastAsia="仿宋_GB2312"/>
          <w:sz w:val="28"/>
          <w:szCs w:val="28"/>
        </w:rPr>
        <w:br w:type="page"/>
      </w: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ascii="宋体" w:hAnsi="宋体"/>
          <w:b/>
          <w:spacing w:val="40"/>
          <w:sz w:val="32"/>
          <w:szCs w:val="32"/>
        </w:rPr>
        <w:t>1</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w:t>
      </w:r>
      <w:r>
        <w:rPr>
          <w:rFonts w:hint="eastAsia" w:ascii="仿宋_GB2312" w:eastAsia="仿宋_GB2312"/>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ascii="仿宋_GB2312" w:eastAsia="仿宋_GB2312"/>
          <w:sz w:val="28"/>
          <w:szCs w:val="28"/>
        </w:rPr>
        <w:t>1</w:t>
      </w:r>
      <w:r>
        <w:rPr>
          <w:rFonts w:hint="eastAsia" w:ascii="仿宋_GB2312" w:eastAsia="仿宋_GB2312"/>
          <w:sz w:val="28"/>
          <w:szCs w:val="28"/>
        </w:rPr>
        <w:t>年“三公”经费财政拨款决算数</w:t>
      </w:r>
      <w:r>
        <w:rPr>
          <w:rFonts w:hint="eastAsia" w:ascii="仿宋_GB2312" w:eastAsia="仿宋_GB2312"/>
          <w:sz w:val="28"/>
          <w:szCs w:val="28"/>
          <w:lang w:val="en-US" w:eastAsia="zh-CN"/>
        </w:rPr>
        <w:t>3.58</w:t>
      </w:r>
      <w:r>
        <w:rPr>
          <w:rFonts w:hint="eastAsia" w:ascii="仿宋_GB2312" w:eastAsia="仿宋_GB2312"/>
          <w:sz w:val="28"/>
          <w:szCs w:val="28"/>
        </w:rPr>
        <w:t>万元，比202</w:t>
      </w:r>
      <w:r>
        <w:rPr>
          <w:rFonts w:ascii="仿宋_GB2312" w:eastAsia="仿宋_GB2312"/>
          <w:sz w:val="28"/>
          <w:szCs w:val="28"/>
        </w:rPr>
        <w:t>1</w:t>
      </w:r>
      <w:r>
        <w:rPr>
          <w:rFonts w:hint="eastAsia" w:ascii="仿宋_GB2312" w:eastAsia="仿宋_GB2312"/>
          <w:sz w:val="28"/>
          <w:szCs w:val="28"/>
        </w:rPr>
        <w:t>年“三公”经费财政拨款年初预算</w:t>
      </w:r>
      <w:r>
        <w:rPr>
          <w:rFonts w:hint="eastAsia" w:ascii="仿宋_GB2312" w:eastAsia="仿宋_GB2312"/>
          <w:sz w:val="28"/>
          <w:szCs w:val="28"/>
          <w:lang w:val="en-US" w:eastAsia="zh-CN"/>
        </w:rPr>
        <w:t>3.58</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p>
    <w:p>
      <w:pPr>
        <w:spacing w:line="560" w:lineRule="exact"/>
        <w:ind w:firstLine="600"/>
        <w:rPr>
          <w:rFonts w:hint="eastAsia" w:ascii="仿宋_GB2312" w:eastAsia="仿宋_GB2312"/>
          <w:sz w:val="28"/>
          <w:szCs w:val="28"/>
        </w:rPr>
      </w:pPr>
      <w:r>
        <w:rPr>
          <w:rFonts w:hint="eastAsia" w:ascii="仿宋_GB2312" w:eastAsia="仿宋_GB2312"/>
          <w:sz w:val="28"/>
          <w:szCs w:val="28"/>
        </w:rPr>
        <w:t>本年度无此项支出。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p>
    <w:p>
      <w:pPr>
        <w:spacing w:line="560" w:lineRule="exact"/>
        <w:ind w:firstLine="600"/>
        <w:rPr>
          <w:rFonts w:hint="eastAsia" w:ascii="仿宋_GB2312" w:eastAsia="仿宋_GB2312"/>
          <w:sz w:val="28"/>
          <w:szCs w:val="28"/>
        </w:rPr>
      </w:pPr>
      <w:r>
        <w:rPr>
          <w:rFonts w:hint="eastAsia" w:ascii="仿宋_GB2312" w:eastAsia="仿宋_GB2312"/>
          <w:sz w:val="28"/>
          <w:szCs w:val="28"/>
        </w:rPr>
        <w:t>本年度无此项支出。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1</w:t>
      </w:r>
      <w:r>
        <w:rPr>
          <w:rFonts w:hint="eastAsia" w:ascii="仿宋_GB2312" w:eastAsia="仿宋_GB2312"/>
          <w:sz w:val="28"/>
          <w:szCs w:val="28"/>
        </w:rPr>
        <w:t>年决算数</w:t>
      </w:r>
      <w:r>
        <w:rPr>
          <w:rFonts w:hint="eastAsia" w:ascii="仿宋_GB2312" w:eastAsia="仿宋_GB2312"/>
          <w:sz w:val="28"/>
          <w:szCs w:val="28"/>
          <w:lang w:val="en-US" w:eastAsia="zh-CN"/>
        </w:rPr>
        <w:t>3.58</w:t>
      </w:r>
      <w:r>
        <w:rPr>
          <w:rFonts w:hint="eastAsia" w:ascii="仿宋_GB2312" w:eastAsia="仿宋_GB2312"/>
          <w:sz w:val="28"/>
          <w:szCs w:val="28"/>
        </w:rPr>
        <w:t>万元，比202</w:t>
      </w:r>
      <w:r>
        <w:rPr>
          <w:rFonts w:hint="eastAsia" w:ascii="仿宋_GB2312" w:eastAsia="仿宋_GB2312"/>
          <w:sz w:val="28"/>
          <w:szCs w:val="28"/>
          <w:lang w:val="en-US" w:eastAsia="zh-CN"/>
        </w:rPr>
        <w:t>1</w:t>
      </w:r>
      <w:r>
        <w:rPr>
          <w:rFonts w:hint="eastAsia" w:ascii="仿宋_GB2312" w:eastAsia="仿宋_GB2312"/>
          <w:sz w:val="28"/>
          <w:szCs w:val="28"/>
        </w:rPr>
        <w:t>年年初预算数</w:t>
      </w:r>
      <w:r>
        <w:rPr>
          <w:rFonts w:hint="eastAsia" w:ascii="仿宋_GB2312" w:eastAsia="仿宋_GB2312"/>
          <w:sz w:val="28"/>
          <w:szCs w:val="28"/>
          <w:lang w:val="en-US" w:eastAsia="zh-CN"/>
        </w:rPr>
        <w:t>3.58</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万元。其中，公务用车运行维护费202</w:t>
      </w:r>
      <w:r>
        <w:rPr>
          <w:rFonts w:hint="eastAsia" w:ascii="仿宋_GB2312" w:eastAsia="仿宋_GB2312"/>
          <w:sz w:val="28"/>
          <w:szCs w:val="28"/>
          <w:lang w:val="en-US" w:eastAsia="zh-CN"/>
        </w:rPr>
        <w:t>1</w:t>
      </w:r>
      <w:r>
        <w:rPr>
          <w:rFonts w:hint="eastAsia" w:ascii="仿宋_GB2312" w:eastAsia="仿宋_GB2312"/>
          <w:sz w:val="28"/>
          <w:szCs w:val="28"/>
        </w:rPr>
        <w:t>年决算数</w:t>
      </w:r>
      <w:r>
        <w:rPr>
          <w:rFonts w:hint="eastAsia" w:ascii="仿宋_GB2312" w:eastAsia="仿宋_GB2312"/>
          <w:sz w:val="28"/>
          <w:szCs w:val="28"/>
          <w:lang w:val="en-US" w:eastAsia="zh-CN"/>
        </w:rPr>
        <w:t>3.58</w:t>
      </w:r>
      <w:r>
        <w:rPr>
          <w:rFonts w:hint="eastAsia" w:ascii="仿宋_GB2312" w:eastAsia="仿宋_GB2312"/>
          <w:sz w:val="28"/>
          <w:szCs w:val="28"/>
        </w:rPr>
        <w:t>万元，比202</w:t>
      </w:r>
      <w:r>
        <w:rPr>
          <w:rFonts w:hint="eastAsia" w:ascii="仿宋_GB2312" w:eastAsia="仿宋_GB2312"/>
          <w:sz w:val="28"/>
          <w:szCs w:val="28"/>
          <w:lang w:val="en-US" w:eastAsia="zh-CN"/>
        </w:rPr>
        <w:t>1</w:t>
      </w:r>
      <w:r>
        <w:rPr>
          <w:rFonts w:hint="eastAsia" w:ascii="仿宋_GB2312" w:eastAsia="仿宋_GB2312"/>
          <w:sz w:val="28"/>
          <w:szCs w:val="28"/>
        </w:rPr>
        <w:t>年年初预算数</w:t>
      </w:r>
      <w:r>
        <w:rPr>
          <w:rFonts w:hint="eastAsia" w:ascii="仿宋_GB2312" w:eastAsia="仿宋_GB2312"/>
          <w:sz w:val="28"/>
          <w:szCs w:val="28"/>
          <w:lang w:val="en-US" w:eastAsia="zh-CN"/>
        </w:rPr>
        <w:t>3.58</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1</w:t>
      </w:r>
      <w:r>
        <w:rPr>
          <w:rFonts w:hint="eastAsia" w:ascii="仿宋_GB2312" w:eastAsia="仿宋_GB2312"/>
          <w:sz w:val="28"/>
          <w:szCs w:val="28"/>
        </w:rPr>
        <w:t>年公务用车运行维护费中，公务用车加油</w:t>
      </w:r>
      <w:r>
        <w:rPr>
          <w:rFonts w:hint="eastAsia" w:ascii="仿宋_GB2312" w:eastAsia="仿宋_GB2312"/>
          <w:sz w:val="28"/>
          <w:szCs w:val="28"/>
          <w:lang w:val="en-US" w:eastAsia="zh-CN"/>
        </w:rPr>
        <w:t>3.05</w:t>
      </w:r>
      <w:r>
        <w:rPr>
          <w:rFonts w:hint="eastAsia" w:ascii="仿宋_GB2312" w:eastAsia="仿宋_GB2312"/>
          <w:sz w:val="28"/>
          <w:szCs w:val="28"/>
        </w:rPr>
        <w:t>万元，公务用车维修</w:t>
      </w:r>
      <w:r>
        <w:rPr>
          <w:rFonts w:hint="eastAsia" w:ascii="仿宋_GB2312" w:eastAsia="仿宋_GB2312"/>
          <w:sz w:val="28"/>
          <w:szCs w:val="28"/>
          <w:lang w:val="en-US" w:eastAsia="zh-CN"/>
        </w:rPr>
        <w:t>0.00</w:t>
      </w:r>
      <w:r>
        <w:rPr>
          <w:rFonts w:hint="eastAsia" w:ascii="仿宋_GB2312" w:eastAsia="仿宋_GB2312"/>
          <w:sz w:val="28"/>
          <w:szCs w:val="28"/>
        </w:rPr>
        <w:t>万元，公务用车保险</w:t>
      </w:r>
      <w:r>
        <w:rPr>
          <w:rFonts w:hint="eastAsia" w:ascii="仿宋_GB2312" w:eastAsia="仿宋_GB2312"/>
          <w:sz w:val="28"/>
          <w:szCs w:val="28"/>
          <w:lang w:val="en-US" w:eastAsia="zh-CN"/>
        </w:rPr>
        <w:t>0.53</w:t>
      </w:r>
      <w:r>
        <w:rPr>
          <w:rFonts w:hint="eastAsia" w:ascii="仿宋_GB2312" w:eastAsia="仿宋_GB2312"/>
          <w:sz w:val="28"/>
          <w:szCs w:val="28"/>
        </w:rPr>
        <w:t>万元，公务用车其他支出</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1</w:t>
      </w:r>
      <w:r>
        <w:rPr>
          <w:rFonts w:hint="eastAsia" w:ascii="仿宋_GB2312" w:eastAsia="仿宋_GB2312"/>
          <w:sz w:val="28"/>
          <w:szCs w:val="28"/>
        </w:rPr>
        <w:t>年公务用车保有量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1.79</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w:t>
      </w:r>
      <w:r>
        <w:rPr>
          <w:rFonts w:hint="eastAsia" w:ascii="仿宋_GB2312" w:eastAsia="仿宋_GB2312"/>
          <w:sz w:val="28"/>
          <w:szCs w:val="28"/>
        </w:rPr>
        <w:t>不属于机关运行经费统计范围</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w:t>
      </w:r>
      <w:r>
        <w:rPr>
          <w:rFonts w:ascii="仿宋_GB2312" w:eastAsia="仿宋_GB2312"/>
          <w:sz w:val="28"/>
          <w:szCs w:val="28"/>
        </w:rPr>
        <w:t>1</w:t>
      </w:r>
      <w:r>
        <w:rPr>
          <w:rFonts w:hint="eastAsia" w:ascii="仿宋_GB2312" w:eastAsia="仿宋_GB2312"/>
          <w:sz w:val="28"/>
          <w:szCs w:val="28"/>
        </w:rPr>
        <w:t>年车辆</w:t>
      </w:r>
      <w:r>
        <w:rPr>
          <w:rFonts w:hint="eastAsia" w:ascii="仿宋_GB2312" w:eastAsia="仿宋_GB2312"/>
          <w:sz w:val="28"/>
          <w:szCs w:val="28"/>
          <w:lang w:val="en-US" w:eastAsia="zh-CN"/>
        </w:rPr>
        <w:t>2</w:t>
      </w:r>
      <w:r>
        <w:rPr>
          <w:rFonts w:hint="eastAsia" w:ascii="仿宋_GB2312" w:eastAsia="仿宋_GB2312"/>
          <w:sz w:val="28"/>
          <w:szCs w:val="28"/>
        </w:rPr>
        <w:t>台，</w:t>
      </w:r>
      <w:r>
        <w:rPr>
          <w:rFonts w:hint="eastAsia" w:ascii="仿宋_GB2312" w:eastAsia="仿宋_GB2312"/>
          <w:sz w:val="28"/>
          <w:szCs w:val="28"/>
          <w:lang w:val="en-US" w:eastAsia="zh-CN"/>
        </w:rPr>
        <w:t>45.57</w:t>
      </w:r>
      <w:r>
        <w:rPr>
          <w:rFonts w:hint="eastAsia" w:ascii="仿宋_GB2312" w:eastAsia="仿宋_GB2312"/>
          <w:sz w:val="28"/>
          <w:szCs w:val="28"/>
        </w:rPr>
        <w:t>万元；单位价值50万元以上的通用设备</w:t>
      </w:r>
      <w:r>
        <w:rPr>
          <w:rFonts w:hint="eastAsia" w:ascii="仿宋_GB2312" w:eastAsia="仿宋_GB2312"/>
          <w:sz w:val="28"/>
          <w:szCs w:val="28"/>
          <w:lang w:val="en-US" w:eastAsia="zh-CN"/>
        </w:rPr>
        <w:t>0</w:t>
      </w:r>
      <w:r>
        <w:rPr>
          <w:rFonts w:hint="eastAsia" w:ascii="仿宋_GB2312" w:eastAsia="仿宋_GB2312"/>
          <w:sz w:val="28"/>
          <w:szCs w:val="28"/>
        </w:rPr>
        <w:t>台（套），单位价值100万元以上的专用设备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rPr>
          <w:rFonts w:hint="eastAsia" w:ascii="仿宋_GB2312" w:eastAsia="仿宋_GB2312"/>
          <w:sz w:val="28"/>
          <w:szCs w:val="28"/>
        </w:rPr>
      </w:pPr>
      <w:r>
        <w:rPr>
          <w:rFonts w:hint="eastAsia" w:ascii="仿宋_GB2312" w:eastAsia="仿宋_GB2312"/>
          <w:sz w:val="28"/>
          <w:szCs w:val="28"/>
        </w:rPr>
        <w:t>本单位不属于政府购买服务购买主体。</w:t>
      </w:r>
    </w:p>
    <w:p>
      <w:pPr>
        <w:ind w:firstLine="560" w:firstLineChars="200"/>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基本支出：指为保障机构正常运转、完成日常工作任务而发生的人员支出和公用支出。</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是指行政单位（含参照公务员法管理事业单位）使用</w:t>
      </w:r>
      <w:r>
        <w:rPr>
          <w:rFonts w:ascii="仿宋_GB2312" w:hAnsi="宋体" w:eastAsia="仿宋_GB2312"/>
          <w:sz w:val="28"/>
          <w:szCs w:val="28"/>
        </w:rPr>
        <w:t>一般公共预算财政</w:t>
      </w:r>
      <w:r>
        <w:rPr>
          <w:rFonts w:hint="eastAsia" w:ascii="仿宋_GB2312" w:hAnsi="宋体" w:eastAsia="仿宋_GB2312"/>
          <w:sz w:val="28"/>
          <w:szCs w:val="28"/>
        </w:rPr>
        <w:t>拨款</w:t>
      </w:r>
      <w:r>
        <w:rPr>
          <w:rFonts w:ascii="仿宋_GB2312" w:hAnsi="宋体" w:eastAsia="仿宋_GB2312"/>
          <w:sz w:val="28"/>
          <w:szCs w:val="28"/>
        </w:rPr>
        <w:t>安排的基本支出中的日常公用经费支出</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lang w:val="en-US" w:eastAsia="zh-CN"/>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b w:val="0"/>
          <w:sz w:val="28"/>
          <w:szCs w:val="28"/>
          <w:lang w:val="en-US" w:eastAsia="zh-CN"/>
        </w:rPr>
      </w:pPr>
      <w:bookmarkStart w:id="0" w:name="_GoBack"/>
      <w:r>
        <w:rPr>
          <w:rFonts w:hint="eastAsia" w:ascii="仿宋_GB2312" w:eastAsia="仿宋_GB2312"/>
          <w:b w:val="0"/>
          <w:sz w:val="28"/>
          <w:szCs w:val="28"/>
          <w:lang w:val="en-US" w:eastAsia="zh-CN"/>
        </w:rPr>
        <w:t>7.</w:t>
      </w:r>
      <w:r>
        <w:rPr>
          <w:rFonts w:hint="eastAsia" w:ascii="仿宋_GB2312" w:eastAsia="仿宋_GB2312"/>
          <w:sz w:val="28"/>
          <w:szCs w:val="28"/>
          <w:lang w:val="en-US" w:eastAsia="zh-CN"/>
        </w:rPr>
        <w:t>资源勘探工业信息等支出：反映用于资源勘探、制造业、建筑业、工业信息等方面支出。</w:t>
      </w:r>
    </w:p>
    <w:bookmarkEnd w:id="0"/>
    <w:p>
      <w:pP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 xml:space="preserve">第四部分  </w:t>
      </w:r>
      <w:r>
        <w:rPr>
          <w:rFonts w:hint="eastAsia" w:ascii="黑体" w:eastAsia="黑体"/>
          <w:sz w:val="32"/>
          <w:szCs w:val="32"/>
          <w:lang w:eastAsia="zh-CN"/>
        </w:rPr>
        <w:t>2021年度</w:t>
      </w:r>
      <w:r>
        <w:rPr>
          <w:rFonts w:hint="eastAsia" w:ascii="黑体" w:eastAsia="黑体"/>
          <w:sz w:val="32"/>
          <w:szCs w:val="32"/>
        </w:rPr>
        <w:t>部门绩效评价情况</w:t>
      </w:r>
    </w:p>
    <w:p>
      <w:pPr>
        <w:ind w:firstLine="560" w:firstLineChars="200"/>
        <w:jc w:val="center"/>
        <w:rPr>
          <w:rFonts w:hint="eastAsia" w:ascii="黑体" w:eastAsia="黑体"/>
          <w:sz w:val="28"/>
          <w:szCs w:val="28"/>
          <w:highlight w:val="yellow"/>
        </w:rPr>
      </w:pPr>
      <w:r>
        <w:rPr>
          <w:rFonts w:hint="eastAsia" w:ascii="仿宋_GB2312" w:eastAsia="仿宋_GB2312"/>
          <w:sz w:val="28"/>
          <w:szCs w:val="28"/>
        </w:rPr>
        <w:t>本年度无此项</w:t>
      </w:r>
      <w:r>
        <w:rPr>
          <w:rFonts w:hint="eastAsia" w:ascii="仿宋_GB2312" w:eastAsia="仿宋_GB2312"/>
          <w:sz w:val="28"/>
          <w:szCs w:val="28"/>
          <w:lang w:eastAsia="zh-CN"/>
        </w:rPr>
        <w:t>。</w:t>
      </w:r>
    </w:p>
    <w:p/>
    <w:sectPr>
      <w:footerReference r:id="rId3" w:type="default"/>
      <w:footerReference r:id="rId4" w:type="even"/>
      <w:pgSz w:w="16838" w:h="11906" w:orient="landscape"/>
      <w:pgMar w:top="1134" w:right="1134" w:bottom="1072" w:left="1134" w:header="851" w:footer="992" w:gutter="0"/>
      <w:pgBorders>
        <w:top w:val="none" w:color="auto" w:sz="0" w:space="0"/>
        <w:left w:val="none" w:color="auto" w:sz="0" w:space="0"/>
        <w:bottom w:val="none" w:color="auto" w:sz="0" w:space="0"/>
        <w:right w:val="none" w:color="auto" w:sz="0" w:space="0"/>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7"/>
      </w:rPr>
    </w:pPr>
    <w:r>
      <w:fldChar w:fldCharType="begin"/>
    </w:r>
    <w:r>
      <w:rPr>
        <w:rStyle w:val="7"/>
      </w:rPr>
      <w:instrText xml:space="preserve">PAGE  </w:instrText>
    </w:r>
    <w:r>
      <w:fldChar w:fldCharType="separate"/>
    </w:r>
    <w:r>
      <w:rPr>
        <w:rStyle w:val="7"/>
      </w:rPr>
      <w:t>24</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7"/>
      </w:rPr>
    </w:pPr>
    <w:r>
      <w:fldChar w:fldCharType="begin"/>
    </w:r>
    <w:r>
      <w:rPr>
        <w:rStyle w:val="7"/>
      </w:rPr>
      <w:instrText xml:space="preserve">PAGE  </w:instrText>
    </w:r>
    <w:r>
      <w:fldChar w:fldCharType="separate"/>
    </w:r>
    <w:r>
      <w:rPr>
        <w:rStyle w:val="7"/>
      </w:rPr>
      <w:t>15</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266AD1"/>
    <w:rsid w:val="04F36E55"/>
    <w:rsid w:val="1D3F05C3"/>
    <w:rsid w:val="1FE16615"/>
    <w:rsid w:val="297E3EA0"/>
    <w:rsid w:val="2C48452E"/>
    <w:rsid w:val="31B27F51"/>
    <w:rsid w:val="3E266AD1"/>
    <w:rsid w:val="41436CCB"/>
    <w:rsid w:val="43071E6E"/>
    <w:rsid w:val="561D3314"/>
    <w:rsid w:val="6A7571EF"/>
    <w:rsid w:val="73D049D7"/>
    <w:rsid w:val="7E5C62BB"/>
    <w:rsid w:val="7F5B107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uiPriority w:val="0"/>
    <w:pPr>
      <w:ind w:firstLine="420" w:firstLineChars="200"/>
    </w:pPr>
    <w:rPr>
      <w:szCs w:val="22"/>
    </w:rPr>
  </w:style>
  <w:style w:type="paragraph" w:styleId="3">
    <w:name w:val="Body Text Indent"/>
    <w:basedOn w:val="1"/>
    <w:qFormat/>
    <w:uiPriority w:val="0"/>
    <w:pPr>
      <w:ind w:firstLine="645"/>
    </w:pPr>
    <w:rPr>
      <w:rFonts w:ascii="仿宋_GB2312" w:hAnsi="Calibri" w:eastAsia="仿宋_GB2312"/>
      <w:sz w:val="32"/>
      <w:szCs w:val="32"/>
    </w:rPr>
  </w:style>
  <w:style w:type="paragraph" w:styleId="4">
    <w:name w:val="Normal Indent"/>
    <w:basedOn w:val="1"/>
    <w:qFormat/>
    <w:uiPriority w:val="0"/>
    <w:pPr>
      <w:ind w:firstLine="200" w:firstLineChars="200"/>
    </w:pPr>
  </w:style>
  <w:style w:type="paragraph" w:styleId="5">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2022-08-22T00:20:00Z</dcterms:created>
  <dc:creator>杜凯峰</dc:creator>
  <cp:lastModifiedBy>李凌</cp:lastModifiedBy>
  <dcterms:modified xsi:type="dcterms:W3CDTF">2022-09-07T06:16:34Z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