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charts/colors1.xml" ContentType="application/vnd.ms-office.chartcolorsty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charts/style1.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BDB" w:rsidRDefault="00DC50D3">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北京市纺织服装职业技能培训学校2023年</w:t>
      </w:r>
    </w:p>
    <w:p w:rsidR="00B20BDB" w:rsidRDefault="00DC50D3">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财政预算信息公开</w:t>
      </w:r>
    </w:p>
    <w:p w:rsidR="00B20BDB" w:rsidRDefault="00B20BDB">
      <w:pPr>
        <w:spacing w:line="240" w:lineRule="exact"/>
        <w:jc w:val="center"/>
        <w:rPr>
          <w:rFonts w:ascii="方正小标宋简体" w:eastAsia="方正小标宋简体"/>
          <w:color w:val="000000"/>
          <w:sz w:val="32"/>
          <w:szCs w:val="32"/>
        </w:rPr>
      </w:pPr>
    </w:p>
    <w:p w:rsidR="00B20BDB" w:rsidRDefault="00DC50D3">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B20BDB" w:rsidRDefault="00B20BDB">
      <w:pPr>
        <w:spacing w:line="240" w:lineRule="exact"/>
        <w:jc w:val="center"/>
        <w:rPr>
          <w:rFonts w:ascii="方正小标宋简体" w:eastAsia="方正小标宋简体"/>
          <w:color w:val="000000"/>
          <w:sz w:val="32"/>
          <w:szCs w:val="32"/>
        </w:rPr>
      </w:pPr>
    </w:p>
    <w:p w:rsidR="00B20BDB" w:rsidRDefault="00DC50D3">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2023年度单位预算情况说明</w:t>
      </w:r>
    </w:p>
    <w:p w:rsidR="00B20BDB" w:rsidRDefault="00DC50D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B20BDB" w:rsidRDefault="00DC50D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B20BDB" w:rsidRDefault="00DC50D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B20BDB" w:rsidRDefault="00DC50D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B20BDB" w:rsidRDefault="00DC50D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B20BDB" w:rsidRDefault="00DC50D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B20BDB" w:rsidRDefault="00DC50D3">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2023年度单位预算报表</w:t>
      </w:r>
    </w:p>
    <w:p w:rsidR="00B20BDB" w:rsidRDefault="00DC50D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B20BDB" w:rsidRDefault="00DC50D3">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二、收入总表    </w:t>
      </w:r>
    </w:p>
    <w:p w:rsidR="00B20BDB" w:rsidRDefault="00DC50D3">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B20BDB" w:rsidRDefault="00DC50D3">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B20BDB" w:rsidRDefault="00DC50D3">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B20BDB" w:rsidRDefault="00DC50D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B20BDB" w:rsidRDefault="00DC50D3">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七、一般公共预算财政拨款支出表</w:t>
      </w:r>
    </w:p>
    <w:p w:rsidR="00B20BDB" w:rsidRDefault="00DC50D3" w:rsidP="00DC50D3">
      <w:pPr>
        <w:autoSpaceDE w:val="0"/>
        <w:autoSpaceDN w:val="0"/>
        <w:adjustRightInd w:val="0"/>
        <w:spacing w:line="560" w:lineRule="exact"/>
        <w:ind w:firstLineChars="250" w:firstLine="72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spacing w:val="-16"/>
          <w:kern w:val="0"/>
          <w:sz w:val="32"/>
          <w:szCs w:val="32"/>
          <w:lang w:val="zh-CN"/>
        </w:rPr>
        <w:t>八、一般公共预算财政拨款基本支出表</w:t>
      </w:r>
    </w:p>
    <w:p w:rsidR="00B20BDB" w:rsidRDefault="00DC50D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B20BDB" w:rsidRDefault="00DC50D3">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B20BDB" w:rsidRDefault="00DC50D3" w:rsidP="00DC50D3">
      <w:pPr>
        <w:autoSpaceDE w:val="0"/>
        <w:autoSpaceDN w:val="0"/>
        <w:adjustRightInd w:val="0"/>
        <w:spacing w:line="560" w:lineRule="exact"/>
        <w:ind w:firstLineChars="250" w:firstLine="72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B20BDB" w:rsidRDefault="00DC50D3" w:rsidP="00DC50D3">
      <w:pPr>
        <w:autoSpaceDE w:val="0"/>
        <w:autoSpaceDN w:val="0"/>
        <w:adjustRightInd w:val="0"/>
        <w:spacing w:line="560" w:lineRule="exact"/>
        <w:ind w:firstLineChars="250" w:firstLine="710"/>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t>十二、政府购买服务预算财政拨款明细表</w:t>
      </w:r>
    </w:p>
    <w:p w:rsidR="00B20BDB" w:rsidRDefault="00DC50D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lastRenderedPageBreak/>
        <w:t>十三、项目支出绩效目标表</w:t>
      </w:r>
    </w:p>
    <w:p w:rsidR="00B20BDB" w:rsidRDefault="00B20BDB">
      <w:pPr>
        <w:spacing w:line="560" w:lineRule="exact"/>
        <w:jc w:val="center"/>
        <w:rPr>
          <w:rFonts w:ascii="仿宋_GB2312" w:eastAsia="仿宋_GB2312" w:hAnsi="仿宋_GB2312" w:cs="仿宋_GB2312"/>
          <w:color w:val="000000"/>
          <w:sz w:val="36"/>
          <w:szCs w:val="36"/>
        </w:rPr>
      </w:pPr>
    </w:p>
    <w:p w:rsidR="00B20BDB" w:rsidRDefault="00B20BDB">
      <w:pPr>
        <w:spacing w:line="560" w:lineRule="exact"/>
        <w:jc w:val="center"/>
        <w:rPr>
          <w:rFonts w:ascii="仿宋_GB2312" w:eastAsia="仿宋_GB2312" w:hAnsi="仿宋_GB2312" w:cs="仿宋_GB2312"/>
          <w:color w:val="000000"/>
          <w:sz w:val="36"/>
          <w:szCs w:val="36"/>
        </w:rPr>
      </w:pPr>
    </w:p>
    <w:p w:rsidR="00B20BDB" w:rsidRDefault="00B20BDB">
      <w:pPr>
        <w:spacing w:line="560" w:lineRule="exact"/>
        <w:jc w:val="center"/>
        <w:rPr>
          <w:rFonts w:ascii="仿宋_GB2312" w:eastAsia="仿宋_GB2312" w:hAnsi="仿宋_GB2312" w:cs="仿宋_GB2312"/>
          <w:color w:val="000000"/>
          <w:sz w:val="36"/>
          <w:szCs w:val="36"/>
        </w:rPr>
      </w:pPr>
    </w:p>
    <w:p w:rsidR="00B20BDB" w:rsidRDefault="00B20BDB">
      <w:pPr>
        <w:spacing w:line="560" w:lineRule="exact"/>
        <w:jc w:val="center"/>
        <w:rPr>
          <w:rFonts w:ascii="仿宋_GB2312" w:eastAsia="仿宋_GB2312" w:hAnsi="仿宋_GB2312" w:cs="仿宋_GB2312"/>
          <w:color w:val="000000"/>
          <w:sz w:val="36"/>
          <w:szCs w:val="36"/>
        </w:rPr>
      </w:pPr>
    </w:p>
    <w:p w:rsidR="00B20BDB" w:rsidRDefault="00B20BDB">
      <w:pPr>
        <w:spacing w:line="560" w:lineRule="exact"/>
        <w:jc w:val="center"/>
        <w:rPr>
          <w:rFonts w:ascii="仿宋_GB2312" w:eastAsia="仿宋_GB2312" w:hAnsi="仿宋_GB2312" w:cs="仿宋_GB2312"/>
          <w:color w:val="000000"/>
          <w:sz w:val="36"/>
          <w:szCs w:val="36"/>
        </w:rPr>
      </w:pPr>
    </w:p>
    <w:p w:rsidR="00B20BDB" w:rsidRDefault="00B20BDB">
      <w:pPr>
        <w:spacing w:line="560" w:lineRule="exact"/>
        <w:jc w:val="center"/>
        <w:rPr>
          <w:rFonts w:ascii="仿宋_GB2312" w:eastAsia="仿宋_GB2312" w:hAnsi="仿宋_GB2312" w:cs="仿宋_GB2312"/>
          <w:color w:val="000000"/>
          <w:sz w:val="36"/>
          <w:szCs w:val="36"/>
        </w:rPr>
      </w:pPr>
    </w:p>
    <w:p w:rsidR="00B20BDB" w:rsidRDefault="00B20BDB">
      <w:pPr>
        <w:spacing w:line="560" w:lineRule="exact"/>
        <w:jc w:val="center"/>
        <w:rPr>
          <w:rFonts w:ascii="仿宋_GB2312" w:eastAsia="仿宋_GB2312" w:hAnsi="仿宋_GB2312" w:cs="仿宋_GB2312"/>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B20BDB">
      <w:pPr>
        <w:spacing w:line="560" w:lineRule="exact"/>
        <w:jc w:val="center"/>
        <w:rPr>
          <w:rFonts w:ascii="方正小标宋简体" w:eastAsia="方正小标宋简体"/>
          <w:color w:val="000000"/>
          <w:sz w:val="36"/>
          <w:szCs w:val="36"/>
        </w:rPr>
      </w:pPr>
    </w:p>
    <w:p w:rsidR="00B20BDB" w:rsidRDefault="00DC50D3">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  2023年度单位预算情况说明</w:t>
      </w:r>
    </w:p>
    <w:p w:rsidR="00B20BDB" w:rsidRDefault="00B20BDB">
      <w:pPr>
        <w:spacing w:line="360" w:lineRule="auto"/>
        <w:rPr>
          <w:rFonts w:ascii="仿宋_GB2312" w:eastAsia="仿宋_GB2312"/>
          <w:color w:val="000000"/>
          <w:sz w:val="32"/>
          <w:szCs w:val="32"/>
        </w:rPr>
      </w:pPr>
    </w:p>
    <w:p w:rsidR="00B20BDB" w:rsidRDefault="00DC50D3">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rsidR="00B20BDB" w:rsidRDefault="00DC50D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纺织服装职业技能培训学校(以下简称“本单位”)成立于1982年。单位性质:差额拨款事业单位;预算代码:241005;主管部门:北京时尚控股有限责任公司;法定代表人:顾巍;单位负责人:顾巍;单位地址:北京市丰台区新发地</w:t>
      </w:r>
      <w:proofErr w:type="gramStart"/>
      <w:r>
        <w:rPr>
          <w:rFonts w:ascii="仿宋_GB2312" w:eastAsia="仿宋_GB2312" w:hint="eastAsia"/>
          <w:color w:val="000000"/>
          <w:sz w:val="32"/>
          <w:szCs w:val="32"/>
        </w:rPr>
        <w:t>潘</w:t>
      </w:r>
      <w:proofErr w:type="gramEnd"/>
      <w:r>
        <w:rPr>
          <w:rFonts w:ascii="仿宋_GB2312" w:eastAsia="仿宋_GB2312" w:hint="eastAsia"/>
          <w:color w:val="000000"/>
          <w:sz w:val="32"/>
          <w:szCs w:val="32"/>
        </w:rPr>
        <w:t>家庙56号。</w:t>
      </w: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主要职能为:培养中高级服装技术工人，提高社会职业素质，开办各班次的短期职业培训班，通过技能培训使学员在学习后取得中、高级资格证书，为服装行业输送大批技术型人才，取得良好的社会效益。为社会培养技能人才，为构建和谐社会，稳定社会做出积极努力贡献。</w:t>
      </w:r>
    </w:p>
    <w:p w:rsidR="00B20BDB" w:rsidRDefault="00DC50D3">
      <w:pPr>
        <w:numPr>
          <w:ilvl w:val="0"/>
          <w:numId w:val="1"/>
        </w:num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机构设置情况</w:t>
      </w: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本单位内设校长办公室、财务科、教务培训科三个职能科室。</w:t>
      </w: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北京市纺织服装职业技能培训学校包括一个预算单位，即北京市纺织服装职业技能培训学校。</w:t>
      </w:r>
    </w:p>
    <w:p w:rsidR="00B20BDB" w:rsidRDefault="00DC50D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（三）人员编制及实有情况</w:t>
      </w: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本单位事业编制23人，实有人数13人；离退休人员10人，其中：离休0人，退休10人。</w:t>
      </w:r>
    </w:p>
    <w:p w:rsidR="00B20BDB" w:rsidRDefault="00DC50D3">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2023年度收入预算309.02万元，比2022年年初预算数</w:t>
      </w:r>
      <w:r>
        <w:rPr>
          <w:rFonts w:ascii="仿宋_GB2312" w:eastAsia="仿宋_GB2312" w:hint="eastAsia"/>
          <w:sz w:val="32"/>
          <w:szCs w:val="32"/>
        </w:rPr>
        <w:lastRenderedPageBreak/>
        <w:t>294.97万元增加14.05万元，增长4.76%。主要原因是</w:t>
      </w:r>
      <w:r w:rsidR="00600D28">
        <w:rPr>
          <w:rFonts w:ascii="仿宋_GB2312" w:eastAsia="仿宋_GB2312" w:hint="eastAsia"/>
          <w:sz w:val="32"/>
          <w:szCs w:val="32"/>
        </w:rPr>
        <w:t>根据事业发展需要，预算规模有所增加</w:t>
      </w:r>
      <w:r>
        <w:rPr>
          <w:rFonts w:ascii="仿宋_GB2312" w:eastAsia="仿宋_GB2312" w:hint="eastAsia"/>
          <w:sz w:val="32"/>
          <w:szCs w:val="32"/>
        </w:rPr>
        <w:t>。</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（一）本年财政拨款收入205.31万元</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1.一般公共预算拨款收入205.31万元。</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2.政府性基金预算拨款收入0万元。</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3.国有资本经营预算拨款收入0万元。</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（二）本年其他资金收入90.06万元</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4.财政专户管理资金收入0万元。</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5.事业收入90.06万元。</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6.上级补助收入0万元。</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7.附属单位上缴收入0万元。</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8.事业单位经营收入0万元。</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9.其他收入0万元。</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（三）上年结转结余13.65万元</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10.上年结转结余13.65万元。</w:t>
      </w:r>
    </w:p>
    <w:p w:rsidR="00B20BDB" w:rsidRDefault="00DC50D3">
      <w:pPr>
        <w:pStyle w:val="2"/>
        <w:jc w:val="center"/>
        <w:rPr>
          <w:rFonts w:ascii="仿宋_GB2312" w:eastAsia="仿宋_GB2312"/>
          <w:sz w:val="32"/>
        </w:rPr>
      </w:pPr>
      <w:r>
        <w:rPr>
          <w:rFonts w:ascii="仿宋_GB2312" w:eastAsia="仿宋_GB2312" w:hint="eastAsia"/>
          <w:sz w:val="32"/>
        </w:rPr>
        <w:t>图1：收入预算</w:t>
      </w:r>
    </w:p>
    <w:p w:rsidR="00B20BDB" w:rsidRDefault="00DC50D3">
      <w:pPr>
        <w:jc w:val="center"/>
      </w:pPr>
      <w:r>
        <w:rPr>
          <w:noProof/>
        </w:rPr>
        <w:drawing>
          <wp:inline distT="0" distB="0" distL="114300" distR="114300">
            <wp:extent cx="4374515" cy="2353310"/>
            <wp:effectExtent l="4445" t="4445" r="21590" b="23495"/>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20BDB" w:rsidRDefault="00B20BDB"/>
    <w:p w:rsidR="00B20BDB" w:rsidRDefault="00B20BDB">
      <w:pPr>
        <w:pStyle w:val="2"/>
        <w:jc w:val="center"/>
      </w:pPr>
    </w:p>
    <w:p w:rsidR="00B20BDB" w:rsidRDefault="00DC50D3">
      <w:pPr>
        <w:spacing w:line="560" w:lineRule="exact"/>
        <w:ind w:firstLineChars="200" w:firstLine="640"/>
        <w:rPr>
          <w:rFonts w:ascii="黑体" w:eastAsia="黑体"/>
          <w:sz w:val="32"/>
          <w:szCs w:val="32"/>
        </w:rPr>
      </w:pPr>
      <w:r>
        <w:rPr>
          <w:rFonts w:ascii="黑体" w:eastAsia="黑体" w:hint="eastAsia"/>
          <w:sz w:val="32"/>
          <w:szCs w:val="32"/>
        </w:rPr>
        <w:t>三、支出预算情况说明</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2023年支出预算309.02万元，比2022年年初预算数294.97万元增加14.05万元，增长4.76%。主要原因是</w:t>
      </w:r>
      <w:r w:rsidR="00FB7DF5">
        <w:rPr>
          <w:rFonts w:ascii="仿宋_GB2312" w:eastAsia="仿宋_GB2312" w:hint="eastAsia"/>
          <w:sz w:val="32"/>
          <w:szCs w:val="32"/>
        </w:rPr>
        <w:t>根据事业发展需要，预算规模有所增加。</w:t>
      </w:r>
    </w:p>
    <w:p w:rsidR="00B20BDB" w:rsidRDefault="00DC50D3">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w:t>
      </w:r>
      <w:proofErr w:type="gramStart"/>
      <w:r>
        <w:rPr>
          <w:rFonts w:ascii="楷体_GB2312" w:eastAsia="楷体_GB2312" w:hAnsi="楷体_GB2312" w:cs="楷体_GB2312" w:hint="eastAsia"/>
          <w:sz w:val="32"/>
          <w:szCs w:val="32"/>
        </w:rPr>
        <w:t>一</w:t>
      </w:r>
      <w:proofErr w:type="gramEnd"/>
      <w:r>
        <w:rPr>
          <w:rFonts w:ascii="楷体_GB2312" w:eastAsia="楷体_GB2312" w:hAnsi="楷体_GB2312" w:cs="楷体_GB2312" w:hint="eastAsia"/>
          <w:sz w:val="32"/>
          <w:szCs w:val="32"/>
        </w:rPr>
        <w:t>)基本支出。</w:t>
      </w:r>
      <w:r>
        <w:rPr>
          <w:rFonts w:ascii="仿宋_GB2312" w:eastAsia="仿宋_GB2312" w:hint="eastAsia"/>
          <w:sz w:val="32"/>
          <w:szCs w:val="32"/>
        </w:rPr>
        <w:t>基本支出预算309.02万元，占总支出预算100%，比2022年年初预算数294.97万元增加14.05万元，增长4.76%。</w:t>
      </w:r>
    </w:p>
    <w:p w:rsidR="00B20BDB" w:rsidRDefault="00DC50D3">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（二）项目支出。</w:t>
      </w:r>
      <w:r>
        <w:rPr>
          <w:rFonts w:ascii="仿宋_GB2312" w:eastAsia="仿宋_GB2312" w:hint="eastAsia"/>
          <w:sz w:val="32"/>
          <w:szCs w:val="32"/>
        </w:rPr>
        <w:t>项目支出预算0万元，与2022年年初预算数持平。其中：</w:t>
      </w:r>
    </w:p>
    <w:p w:rsidR="00B20BDB" w:rsidRDefault="00DC50D3">
      <w:pPr>
        <w:spacing w:line="560" w:lineRule="exact"/>
        <w:ind w:firstLine="640"/>
        <w:rPr>
          <w:rFonts w:ascii="仿宋_GB2312" w:eastAsia="仿宋_GB2312"/>
          <w:sz w:val="32"/>
          <w:szCs w:val="32"/>
        </w:rPr>
      </w:pPr>
      <w:r>
        <w:rPr>
          <w:rFonts w:ascii="仿宋_GB2312" w:eastAsia="仿宋_GB2312" w:hint="eastAsia"/>
          <w:sz w:val="32"/>
          <w:szCs w:val="32"/>
        </w:rPr>
        <w:t>1.事业单位经营支出0万元。</w:t>
      </w:r>
    </w:p>
    <w:p w:rsidR="00B20BDB" w:rsidRDefault="00DC50D3">
      <w:pPr>
        <w:spacing w:line="560" w:lineRule="exact"/>
        <w:ind w:firstLine="640"/>
        <w:rPr>
          <w:rFonts w:ascii="仿宋_GB2312" w:eastAsia="仿宋_GB2312"/>
          <w:sz w:val="32"/>
          <w:szCs w:val="32"/>
        </w:rPr>
      </w:pPr>
      <w:r>
        <w:rPr>
          <w:rFonts w:ascii="仿宋_GB2312" w:eastAsia="仿宋_GB2312" w:hint="eastAsia"/>
          <w:sz w:val="32"/>
          <w:szCs w:val="32"/>
        </w:rPr>
        <w:t>2.上缴上级支出0万元。</w:t>
      </w:r>
    </w:p>
    <w:p w:rsidR="00B20BDB" w:rsidRDefault="00DC50D3">
      <w:pPr>
        <w:spacing w:line="560" w:lineRule="exact"/>
        <w:ind w:firstLine="640"/>
        <w:rPr>
          <w:rFonts w:ascii="仿宋_GB2312" w:eastAsia="仿宋_GB2312"/>
          <w:sz w:val="32"/>
          <w:szCs w:val="32"/>
        </w:rPr>
      </w:pPr>
      <w:r>
        <w:rPr>
          <w:rFonts w:ascii="仿宋_GB2312" w:eastAsia="仿宋_GB2312" w:hint="eastAsia"/>
          <w:sz w:val="32"/>
          <w:szCs w:val="32"/>
        </w:rPr>
        <w:t>3.对附属单位补助支出0万元。</w:t>
      </w:r>
    </w:p>
    <w:p w:rsidR="00B20BDB" w:rsidRDefault="00DC50D3">
      <w:pPr>
        <w:pStyle w:val="2"/>
        <w:ind w:firstLine="642"/>
        <w:jc w:val="center"/>
        <w:rPr>
          <w:rFonts w:ascii="仿宋_GB2312" w:eastAsia="仿宋_GB2312"/>
          <w:sz w:val="32"/>
        </w:rPr>
      </w:pPr>
      <w:r>
        <w:rPr>
          <w:rFonts w:ascii="仿宋_GB2312" w:eastAsia="仿宋_GB2312" w:hint="eastAsia"/>
          <w:sz w:val="32"/>
        </w:rPr>
        <w:t>图2：基本支出和项目支出情况</w:t>
      </w:r>
    </w:p>
    <w:p w:rsidR="00B20BDB" w:rsidRDefault="00DC50D3">
      <w:pPr>
        <w:jc w:val="center"/>
      </w:pPr>
      <w:r>
        <w:rPr>
          <w:noProof/>
        </w:rPr>
        <w:drawing>
          <wp:inline distT="0" distB="0" distL="114300" distR="114300">
            <wp:extent cx="4572000" cy="2743200"/>
            <wp:effectExtent l="4445" t="4445" r="14605" b="14605"/>
            <wp:docPr id="8"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20BDB" w:rsidRDefault="00B20BDB">
      <w:pPr>
        <w:pStyle w:val="2"/>
        <w:jc w:val="center"/>
      </w:pPr>
    </w:p>
    <w:p w:rsidR="00B20BDB" w:rsidRDefault="00DC50D3">
      <w:pPr>
        <w:spacing w:line="560" w:lineRule="exact"/>
        <w:ind w:firstLineChars="200" w:firstLine="640"/>
        <w:rPr>
          <w:rFonts w:ascii="黑体" w:eastAsia="黑体"/>
          <w:sz w:val="32"/>
          <w:szCs w:val="32"/>
        </w:rPr>
      </w:pPr>
      <w:r>
        <w:rPr>
          <w:rFonts w:ascii="黑体" w:eastAsia="黑体" w:hint="eastAsia"/>
          <w:sz w:val="32"/>
          <w:szCs w:val="32"/>
        </w:rPr>
        <w:t>四、财政拨款“三公”经费预算情况说明</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（一）“三公”经费的单位范围</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北京市纺织服装职业技能培训学校因公出国（境）费用、公务接待费、公务用车购置和运行维护费开支单位为本单位。</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（二）财政拨款“三公”经费预算情况说明</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2023年财政拨款“三公”经费预算1.39万元，与2022年财政拨款“三公”经费预算持平。其中：</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1.因公出国（境）费用。2023年预算数0万元，与2022年年初预算数持平。</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2.公务接待费。2023年预算数0万元，与2022年年初预算数持平。</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3.公务用车购置和运行维护费。2023年预算数1.39万元，其中，公务用车购置费2023年预算数0万元，与2022年年初预算数持平；公务用车运行维护费2023年预算数1.39万元，其中：公务用车燃油0.31万元，公务用车维修0.42万元，公务用车保险0.42万元，其他支出0.24万元。公务用车运行维护费2023年预算数与2022年年初预算数持平。</w:t>
      </w:r>
    </w:p>
    <w:p w:rsidR="00B20BDB" w:rsidRDefault="00DC50D3">
      <w:pPr>
        <w:spacing w:line="560" w:lineRule="exact"/>
        <w:ind w:firstLineChars="200" w:firstLine="640"/>
        <w:rPr>
          <w:rFonts w:ascii="黑体" w:eastAsia="黑体"/>
          <w:sz w:val="32"/>
          <w:szCs w:val="32"/>
        </w:rPr>
      </w:pPr>
      <w:r>
        <w:rPr>
          <w:rFonts w:ascii="黑体" w:eastAsia="黑体" w:hint="eastAsia"/>
          <w:sz w:val="32"/>
          <w:szCs w:val="32"/>
        </w:rPr>
        <w:t>五、其他情况说明</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本单位2023年无政府采购预算。</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本单位2023年无政府购买服务预算。</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本单位不在机关运行经费统计范围之内。</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本单位2023年无项目支出绩效目标。</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rsidR="00B20BDB" w:rsidRDefault="00DC50D3">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本单位2023年无重点行政事业性收费。</w:t>
      </w:r>
    </w:p>
    <w:p w:rsidR="00B20BDB" w:rsidRDefault="00DC50D3">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本单位2023</w:t>
      </w:r>
      <w:r>
        <w:rPr>
          <w:rFonts w:ascii="仿宋_GB2312" w:eastAsia="仿宋_GB2312" w:hint="eastAsia"/>
          <w:color w:val="000000"/>
          <w:sz w:val="32"/>
          <w:szCs w:val="32"/>
        </w:rPr>
        <w:t>年无国有资本经营预算财政拨款安排的预算</w:t>
      </w:r>
    </w:p>
    <w:p w:rsidR="00B20BDB" w:rsidRDefault="00DC50D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截至2022年底，本单位共有车辆1台，共计16.23万元；单位价值50万元以上的通用设备2台（套），共计156.79万元，单位价值100万元以上的专用设备0台（套）、共计0万元。</w:t>
      </w:r>
    </w:p>
    <w:p w:rsidR="00B20BDB" w:rsidRDefault="00DC50D3">
      <w:pPr>
        <w:spacing w:line="560" w:lineRule="exact"/>
        <w:ind w:firstLineChars="200" w:firstLine="640"/>
        <w:rPr>
          <w:rFonts w:ascii="仿宋_GB2312" w:eastAsia="仿宋_GB2312"/>
          <w:color w:val="000000"/>
          <w:spacing w:val="-2"/>
          <w:sz w:val="32"/>
          <w:szCs w:val="32"/>
        </w:rPr>
      </w:pPr>
      <w:r>
        <w:rPr>
          <w:rFonts w:ascii="黑体" w:eastAsia="黑体" w:hint="eastAsia"/>
          <w:color w:val="000000"/>
          <w:sz w:val="32"/>
          <w:szCs w:val="32"/>
        </w:rPr>
        <w:t>六、名词解释</w:t>
      </w: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B20BDB" w:rsidRDefault="00B20BDB">
      <w:pPr>
        <w:pStyle w:val="2"/>
      </w:pPr>
      <w:bookmarkStart w:id="0" w:name="_GoBack"/>
      <w:bookmarkEnd w:id="0"/>
    </w:p>
    <w:p w:rsidR="00B20BDB" w:rsidRDefault="00DC50D3">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2023年度单位预算报表</w:t>
      </w:r>
    </w:p>
    <w:p w:rsidR="00B20BDB" w:rsidRDefault="00B20BDB">
      <w:pPr>
        <w:autoSpaceDE w:val="0"/>
        <w:autoSpaceDN w:val="0"/>
        <w:adjustRightInd w:val="0"/>
        <w:spacing w:line="560" w:lineRule="exact"/>
        <w:jc w:val="left"/>
        <w:rPr>
          <w:rFonts w:ascii="方正小标宋简体" w:eastAsia="方正小标宋简体"/>
          <w:color w:val="000000"/>
          <w:sz w:val="36"/>
          <w:szCs w:val="36"/>
        </w:rPr>
      </w:pPr>
    </w:p>
    <w:p w:rsidR="00B20BDB" w:rsidRDefault="00DC50D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附件：北京市纺织服装职业技能培训学校2023年度单位预算报表</w:t>
      </w:r>
    </w:p>
    <w:p w:rsidR="00B20BDB" w:rsidRDefault="00B20BDB">
      <w:pPr>
        <w:spacing w:line="560" w:lineRule="exact"/>
        <w:rPr>
          <w:rFonts w:ascii="仿宋_GB2312" w:eastAsia="仿宋_GB2312"/>
          <w:color w:val="000000"/>
          <w:sz w:val="32"/>
          <w:szCs w:val="32"/>
        </w:rPr>
      </w:pPr>
    </w:p>
    <w:p w:rsidR="00B20BDB" w:rsidRDefault="00B20BDB">
      <w:pPr>
        <w:rPr>
          <w:rFonts w:ascii="仿宋_GB2312" w:eastAsia="仿宋_GB2312"/>
          <w:sz w:val="32"/>
          <w:szCs w:val="32"/>
        </w:rPr>
      </w:pPr>
    </w:p>
    <w:p w:rsidR="00B20BDB" w:rsidRDefault="00B20BDB"/>
    <w:sectPr w:rsidR="00B20BDB" w:rsidSect="00B20BDB">
      <w:footerReference w:type="default" r:id="rId11"/>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BDB" w:rsidRDefault="00B20BDB" w:rsidP="00B20BDB">
      <w:r>
        <w:separator/>
      </w:r>
    </w:p>
  </w:endnote>
  <w:endnote w:type="continuationSeparator" w:id="1">
    <w:p w:rsidR="00B20BDB" w:rsidRDefault="00B20BDB" w:rsidP="00B20B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2" w:usb3="00000000" w:csb0="00040001"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DB" w:rsidRDefault="00E15E3E">
    <w:pPr>
      <w:pStyle w:val="a3"/>
      <w:jc w:val="right"/>
      <w:rPr>
        <w:rFonts w:ascii="宋体" w:hAnsi="宋体"/>
        <w:sz w:val="28"/>
        <w:szCs w:val="28"/>
      </w:rPr>
    </w:pPr>
    <w:r w:rsidRPr="00E15E3E">
      <w:rPr>
        <w:sz w:val="28"/>
      </w:rPr>
      <w:pict>
        <v:shapetype id="_x0000_t202" coordsize="21600,21600" o:spt="202" path="m,l,21600r21600,l21600,xe">
          <v:stroke joinstyle="miter"/>
          <v:path gradientshapeok="t" o:connecttype="rect"/>
        </v:shapetype>
        <v:shape id="_x0000_s1026" type="#_x0000_t202" style="position:absolute;left:0;text-align:left;margin-left:208pt;margin-top:0;width:2in;height:2in;z-index:251659264;mso-wrap-style:none;mso-position-horizontal:outside;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filled="f" stroked="f">
          <v:textbox style="mso-fit-shape-to-text:t" inset="0,0,0,0">
            <w:txbxContent>
              <w:p w:rsidR="00B20BDB" w:rsidRDefault="00E15E3E">
                <w:pPr>
                  <w:pStyle w:val="a3"/>
                  <w:jc w:val="right"/>
                </w:pPr>
                <w:r>
                  <w:rPr>
                    <w:rFonts w:ascii="宋体" w:hAnsi="宋体"/>
                    <w:sz w:val="28"/>
                    <w:szCs w:val="28"/>
                  </w:rPr>
                  <w:fldChar w:fldCharType="begin"/>
                </w:r>
                <w:r w:rsidR="00DC50D3">
                  <w:rPr>
                    <w:rFonts w:ascii="宋体" w:hAnsi="宋体"/>
                    <w:sz w:val="28"/>
                    <w:szCs w:val="28"/>
                  </w:rPr>
                  <w:instrText>PAGE   \* MERGEFORMAT</w:instrText>
                </w:r>
                <w:r>
                  <w:rPr>
                    <w:rFonts w:ascii="宋体" w:hAnsi="宋体"/>
                    <w:sz w:val="28"/>
                    <w:szCs w:val="28"/>
                  </w:rPr>
                  <w:fldChar w:fldCharType="separate"/>
                </w:r>
                <w:r w:rsidR="00587DC0" w:rsidRPr="00587DC0">
                  <w:rPr>
                    <w:rFonts w:ascii="宋体" w:hAnsi="宋体"/>
                    <w:noProof/>
                    <w:sz w:val="28"/>
                    <w:szCs w:val="28"/>
                    <w:lang w:val="zh-CN"/>
                  </w:rPr>
                  <w:t>-</w:t>
                </w:r>
                <w:r w:rsidR="00587DC0">
                  <w:rPr>
                    <w:rFonts w:ascii="宋体" w:hAnsi="宋体"/>
                    <w:noProof/>
                    <w:sz w:val="28"/>
                    <w:szCs w:val="28"/>
                  </w:rPr>
                  <w:t xml:space="preserve"> 3 -</w:t>
                </w:r>
                <w:r>
                  <w:rPr>
                    <w:rFonts w:ascii="宋体" w:hAnsi="宋体"/>
                    <w:sz w:val="28"/>
                    <w:szCs w:val="28"/>
                  </w:rPr>
                  <w:fldChar w:fldCharType="end"/>
                </w:r>
              </w:p>
            </w:txbxContent>
          </v:textbox>
          <w10:wrap anchorx="margin"/>
        </v:shape>
      </w:pict>
    </w:r>
  </w:p>
  <w:p w:rsidR="00B20BDB" w:rsidRDefault="00B20BDB">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BDB" w:rsidRDefault="00B20BDB" w:rsidP="00B20BDB">
      <w:r>
        <w:separator/>
      </w:r>
    </w:p>
  </w:footnote>
  <w:footnote w:type="continuationSeparator" w:id="1">
    <w:p w:rsidR="00B20BDB" w:rsidRDefault="00B20BDB" w:rsidP="00B20B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6C61A"/>
    <w:multiLevelType w:val="singleLevel"/>
    <w:tmpl w:val="44C6C61A"/>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U3OWY3ZGViOWQzMzA3ZDE5Nzc1MjUyZWJiNGVmZWEifQ=="/>
  </w:docVars>
  <w:rsids>
    <w:rsidRoot w:val="00B20BDB"/>
    <w:rsid w:val="00084C09"/>
    <w:rsid w:val="00587DC0"/>
    <w:rsid w:val="00600D28"/>
    <w:rsid w:val="00B20BDB"/>
    <w:rsid w:val="00DC50D3"/>
    <w:rsid w:val="00E15E3E"/>
    <w:rsid w:val="00FB7DF5"/>
    <w:rsid w:val="027225E3"/>
    <w:rsid w:val="09C13E54"/>
    <w:rsid w:val="12042B30"/>
    <w:rsid w:val="1490074E"/>
    <w:rsid w:val="15A13EAF"/>
    <w:rsid w:val="15A15391"/>
    <w:rsid w:val="1927427B"/>
    <w:rsid w:val="1EB53FEF"/>
    <w:rsid w:val="1EEB7551"/>
    <w:rsid w:val="1FB65DB1"/>
    <w:rsid w:val="24234FCD"/>
    <w:rsid w:val="25754019"/>
    <w:rsid w:val="28DE4BB7"/>
    <w:rsid w:val="2AB2128F"/>
    <w:rsid w:val="2AF01FA9"/>
    <w:rsid w:val="2EFA558F"/>
    <w:rsid w:val="2F0F147A"/>
    <w:rsid w:val="36AF1D05"/>
    <w:rsid w:val="40F71963"/>
    <w:rsid w:val="41286718"/>
    <w:rsid w:val="42004812"/>
    <w:rsid w:val="42815953"/>
    <w:rsid w:val="445D5F4C"/>
    <w:rsid w:val="45790B64"/>
    <w:rsid w:val="477C6AB3"/>
    <w:rsid w:val="47FD6976"/>
    <w:rsid w:val="48C25869"/>
    <w:rsid w:val="49896118"/>
    <w:rsid w:val="4B762313"/>
    <w:rsid w:val="4B773435"/>
    <w:rsid w:val="4C455C43"/>
    <w:rsid w:val="4E740A62"/>
    <w:rsid w:val="4EF13605"/>
    <w:rsid w:val="52195BA8"/>
    <w:rsid w:val="54AA7074"/>
    <w:rsid w:val="5712631B"/>
    <w:rsid w:val="58DB73AF"/>
    <w:rsid w:val="59C832E6"/>
    <w:rsid w:val="5AC86707"/>
    <w:rsid w:val="5CBC3D00"/>
    <w:rsid w:val="5D261179"/>
    <w:rsid w:val="608C5797"/>
    <w:rsid w:val="6A8B2F63"/>
    <w:rsid w:val="6B4E697E"/>
    <w:rsid w:val="769C24FB"/>
    <w:rsid w:val="776935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B20BDB"/>
    <w:pPr>
      <w:widowControl w:val="0"/>
      <w:jc w:val="both"/>
    </w:pPr>
    <w:rPr>
      <w:rFonts w:ascii="Times New Roman" w:eastAsia="宋体" w:hAnsi="Times New Roman" w:cs="Droid Sans"/>
      <w:kern w:val="2"/>
      <w:sz w:val="21"/>
      <w:szCs w:val="24"/>
    </w:rPr>
  </w:style>
  <w:style w:type="paragraph" w:styleId="2">
    <w:name w:val="heading 2"/>
    <w:basedOn w:val="a"/>
    <w:next w:val="a"/>
    <w:qFormat/>
    <w:rsid w:val="00B20BDB"/>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B20BDB"/>
    <w:pPr>
      <w:tabs>
        <w:tab w:val="center" w:pos="4153"/>
        <w:tab w:val="right" w:pos="8306"/>
      </w:tabs>
      <w:snapToGrid w:val="0"/>
      <w:jc w:val="left"/>
    </w:pPr>
    <w:rPr>
      <w:sz w:val="18"/>
      <w:szCs w:val="20"/>
    </w:rPr>
  </w:style>
  <w:style w:type="paragraph" w:styleId="a4">
    <w:name w:val="header"/>
    <w:basedOn w:val="a"/>
    <w:link w:val="Char"/>
    <w:rsid w:val="00DC50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C50D3"/>
    <w:rPr>
      <w:rFonts w:ascii="Times New Roman" w:eastAsia="宋体" w:hAnsi="Times New Roman" w:cs="Droid Sans"/>
      <w:kern w:val="2"/>
      <w:sz w:val="18"/>
      <w:szCs w:val="18"/>
    </w:rPr>
  </w:style>
  <w:style w:type="paragraph" w:styleId="a5">
    <w:name w:val="Balloon Text"/>
    <w:basedOn w:val="a"/>
    <w:link w:val="Char0"/>
    <w:rsid w:val="00600D28"/>
    <w:rPr>
      <w:sz w:val="18"/>
      <w:szCs w:val="18"/>
    </w:rPr>
  </w:style>
  <w:style w:type="character" w:customStyle="1" w:styleId="Char0">
    <w:name w:val="批注框文本 Char"/>
    <w:basedOn w:val="a0"/>
    <w:link w:val="a5"/>
    <w:rsid w:val="00600D28"/>
    <w:rPr>
      <w:rFonts w:ascii="Times New Roman" w:eastAsia="宋体" w:hAnsi="Times New Roman" w:cs="Droid Sans"/>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ell\Desktop\&#26032;&#24314;%20XLSX%20&#24037;&#20316;&#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dell\Desktop\&#36130;&#25919;&#39044;&#31639;\2023\2023&#39044;&#31639;&#35843;&#259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1400" b="0" i="0" u="none" strike="noStrike" kern="1200" spc="0" baseline="0">
                <a:solidFill>
                  <a:srgbClr val="595959">
                    <a:lumMod val="65000"/>
                    <a:lumOff val="35000"/>
                  </a:srgbClr>
                </a:solidFill>
                <a:latin typeface="+mn-lt"/>
                <a:ea typeface="+mn-ea"/>
                <a:cs typeface="+mn-cs"/>
              </a:defRPr>
            </a:pPr>
            <a:r>
              <a:rPr altLang="en-US"/>
              <a:t>收入预算</a:t>
            </a:r>
            <a:endParaRPr altLang="en-US"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spPr>
        <a:noFill/>
        <a:ln>
          <a:noFill/>
        </a:ln>
        <a:effectLst/>
      </c:spPr>
    </c:title>
    <c:plotArea>
      <c:layout/>
      <c:pieChart>
        <c:varyColors val="1"/>
        <c:ser>
          <c:idx val="0"/>
          <c:order val="0"/>
          <c:dPt>
            <c:idx val="0"/>
            <c:spPr>
              <a:solidFill>
                <a:srgbClr val="4F81BD"/>
              </a:solidFill>
              <a:ln w="19050">
                <a:solidFill>
                  <a:srgbClr val="FFFFFF"/>
                </a:solidFill>
              </a:ln>
              <a:effectLst/>
            </c:spPr>
          </c:dPt>
          <c:dPt>
            <c:idx val="1"/>
            <c:spPr>
              <a:solidFill>
                <a:srgbClr val="C0504D"/>
              </a:solidFill>
              <a:ln w="19050">
                <a:solidFill>
                  <a:srgbClr val="FFFFFF"/>
                </a:solidFill>
              </a:ln>
              <a:effectLst/>
            </c:spPr>
          </c:dPt>
          <c:dPt>
            <c:idx val="2"/>
            <c:spPr>
              <a:solidFill>
                <a:srgbClr val="9BBB59"/>
              </a:solidFill>
              <a:ln w="19050">
                <a:solidFill>
                  <a:srgbClr val="FFFFFF"/>
                </a:solidFill>
              </a:ln>
              <a:effectLst/>
            </c:spPr>
          </c:dPt>
          <c:dPt>
            <c:idx val="3"/>
            <c:spPr>
              <a:solidFill>
                <a:srgbClr val="8064A2"/>
              </a:solidFill>
              <a:ln w="19050">
                <a:solidFill>
                  <a:srgbClr val="FFFFFF"/>
                </a:solidFill>
              </a:ln>
              <a:effectLst/>
            </c:spPr>
          </c:dPt>
          <c:dPt>
            <c:idx val="4"/>
            <c:spPr>
              <a:solidFill>
                <a:srgbClr val="4BACC6"/>
              </a:solidFill>
              <a:ln w="19050">
                <a:solidFill>
                  <a:srgbClr val="FFFFFF"/>
                </a:solidFill>
              </a:ln>
              <a:effectLst/>
            </c:spPr>
          </c:dPt>
          <c:dPt>
            <c:idx val="5"/>
            <c:spPr>
              <a:solidFill>
                <a:srgbClr val="F79646"/>
              </a:solidFill>
              <a:ln w="19050">
                <a:solidFill>
                  <a:srgbClr val="FFFFFF"/>
                </a:solidFill>
              </a:ln>
              <a:effectLst/>
            </c:spPr>
          </c:dPt>
          <c:dPt>
            <c:idx val="6"/>
            <c:spPr>
              <a:solidFill>
                <a:srgbClr val="2C4D75">
                  <a:lumMod val="60000"/>
                </a:srgbClr>
              </a:solidFill>
              <a:ln w="19050">
                <a:solidFill>
                  <a:srgbClr val="FFFFFF"/>
                </a:solidFill>
              </a:ln>
              <a:effectLst/>
            </c:spPr>
          </c:dPt>
          <c:dPt>
            <c:idx val="7"/>
            <c:spPr>
              <a:solidFill>
                <a:srgbClr val="772C2A">
                  <a:lumMod val="60000"/>
                </a:srgbClr>
              </a:solidFill>
              <a:ln w="19050">
                <a:solidFill>
                  <a:srgbClr val="FFFFFF"/>
                </a:solidFill>
              </a:ln>
              <a:effectLst/>
            </c:spPr>
          </c:dPt>
          <c:dPt>
            <c:idx val="8"/>
            <c:spPr>
              <a:solidFill>
                <a:srgbClr val="5F7530">
                  <a:lumMod val="60000"/>
                </a:srgbClr>
              </a:solidFill>
              <a:ln w="19050">
                <a:solidFill>
                  <a:srgbClr val="FFFFFF"/>
                </a:solidFill>
              </a:ln>
              <a:effectLst/>
            </c:spPr>
          </c:dPt>
          <c:dPt>
            <c:idx val="9"/>
            <c:spPr>
              <a:solidFill>
                <a:srgbClr val="4D3B62">
                  <a:lumMod val="60000"/>
                </a:srgbClr>
              </a:solidFill>
              <a:ln w="19050">
                <a:solidFill>
                  <a:srgbClr val="FFFFFF"/>
                </a:solidFill>
              </a:ln>
              <a:effectLst/>
            </c:spPr>
          </c:dPt>
          <c:dLbls>
            <c:dLbl>
              <c:idx val="0"/>
              <c:layout/>
              <c:tx>
                <c:rich>
                  <a:bodyPr/>
                  <a:lstStyle/>
                  <a:p>
                    <a:r>
                      <a:rPr lang="en-US" altLang="zh-CN"/>
                      <a:t>66</a:t>
                    </a:r>
                    <a:r>
                      <a:t>%</a:t>
                    </a:r>
                  </a:p>
                </c:rich>
              </c:tx>
              <c:dLblPos val="inEnd"/>
              <c:showPercent val="1"/>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ext>
            </c:extLst>
          </c:dLbls>
          <c:cat>
            <c:strRef>
              <c:f>[2023预算调整.xlsx]Sheet3!$L$2:$L$11</c:f>
              <c:strCache>
                <c:ptCount val="10"/>
                <c:pt idx="0">
                  <c:v>一般公共预算拨款收入</c:v>
                </c:pt>
                <c:pt idx="1">
                  <c:v>政府性基金预算拨款收入</c:v>
                </c:pt>
                <c:pt idx="2">
                  <c:v>国有资本经营预算拨款收入</c:v>
                </c:pt>
                <c:pt idx="3">
                  <c:v>财政专户管理资金收入</c:v>
                </c:pt>
                <c:pt idx="4">
                  <c:v>事业收入</c:v>
                </c:pt>
                <c:pt idx="5">
                  <c:v>上级补助收入</c:v>
                </c:pt>
                <c:pt idx="6">
                  <c:v>附属单位上缴收入</c:v>
                </c:pt>
                <c:pt idx="7">
                  <c:v>事业单位经营收入</c:v>
                </c:pt>
                <c:pt idx="8">
                  <c:v>其他收入</c:v>
                </c:pt>
                <c:pt idx="9">
                  <c:v>上年结转结余</c:v>
                </c:pt>
              </c:strCache>
            </c:strRef>
          </c:cat>
          <c:val>
            <c:numRef>
              <c:f>[2023预算调整.xlsx]Sheet3!$M$2:$M$11</c:f>
              <c:numCache>
                <c:formatCode>General</c:formatCode>
                <c:ptCount val="10"/>
                <c:pt idx="0">
                  <c:v>205.31</c:v>
                </c:pt>
                <c:pt idx="4">
                  <c:v>90.06</c:v>
                </c:pt>
                <c:pt idx="9">
                  <c:v>13.65</c:v>
                </c:pt>
              </c:numCache>
            </c:numRef>
          </c:val>
        </c:ser>
        <c:dLbls>
          <c:showPercent val="1"/>
        </c:dLbls>
        <c:firstSliceAng val="0"/>
      </c:pieChart>
      <c:spPr>
        <a:noFill/>
        <a:ln>
          <a:noFill/>
        </a:ln>
        <a:effectLst/>
      </c:spPr>
    </c:plotArea>
    <c:legend>
      <c:legendPos val="r"/>
      <c:legendEntry>
        <c:idx val="1"/>
        <c:delete val="1"/>
      </c:legendEntry>
      <c:legendEntry>
        <c:idx val="2"/>
        <c:delete val="1"/>
      </c:legendEntry>
      <c:legendEntry>
        <c:idx val="3"/>
        <c:delete val="1"/>
      </c:legendEntry>
      <c:legendEntry>
        <c:idx val="5"/>
        <c:delete val="1"/>
      </c:legendEntry>
      <c:legendEntry>
        <c:idx val="6"/>
        <c:delete val="1"/>
      </c:legendEntry>
      <c:legendEntry>
        <c:idx val="7"/>
        <c:delete val="1"/>
      </c:legendEntry>
      <c:legendEntry>
        <c:idx val="8"/>
        <c:delete val="1"/>
      </c:legendEntry>
      <c:layout/>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endParaRPr lang="zh-CN"/>
        </a:p>
      </c:txPr>
    </c:legend>
    <c:plotVisOnly val="1"/>
    <c:dispBlanksAs val="zero"/>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autoTitleDeleted val="1"/>
    <c:plotArea>
      <c:layout/>
      <c:pieChart>
        <c:varyColors val="1"/>
        <c:ser>
          <c:idx val="0"/>
          <c:order val="0"/>
          <c:dPt>
            <c:idx val="0"/>
            <c:spPr>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a:noFill/>
              </a:ln>
              <a:effectLst>
                <a:outerShdw blurRad="40000" dist="23000" dir="5400000" rotWithShape="0">
                  <a:srgbClr val="000000">
                    <a:alpha val="35000"/>
                  </a:srgbClr>
                </a:outerShdw>
              </a:effectLst>
            </c:spPr>
          </c:dPt>
          <c:dPt>
            <c:idx val="1"/>
            <c:spPr>
              <a:gradFill rotWithShape="1">
                <a:gsLst>
                  <a:gs pos="0">
                    <a:srgbClr val="C0504D">
                      <a:shade val="51000"/>
                      <a:satMod val="130000"/>
                    </a:srgbClr>
                  </a:gs>
                  <a:gs pos="80000">
                    <a:srgbClr val="C0504D">
                      <a:shade val="93000"/>
                      <a:satMod val="130000"/>
                    </a:srgbClr>
                  </a:gs>
                  <a:gs pos="100000">
                    <a:srgbClr val="C0504D">
                      <a:shade val="94000"/>
                      <a:satMod val="135000"/>
                    </a:srgbClr>
                  </a:gs>
                </a:gsLst>
                <a:lin ang="16200000" scaled="0"/>
              </a:gradFill>
              <a:ln>
                <a:noFill/>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1F497D"/>
                    </a:solidFill>
                    <a:latin typeface="+mn-lt"/>
                    <a:ea typeface="+mn-ea"/>
                    <a:cs typeface="+mn-cs"/>
                  </a:defRPr>
                </a:pPr>
                <a:endParaRPr lang="zh-CN"/>
              </a:p>
            </c:txPr>
            <c:dLblPos val="bestFit"/>
            <c:showPercent val="1"/>
            <c:showLeaderLines val="1"/>
            <c:extLst>
              <c:ext xmlns:c15="http://schemas.microsoft.com/office/drawing/2012/chart" uri="{CE6537A1-D6FC-4f65-9D91-7224C49458BB}">
                <c15:layout/>
                <c15:showLeaderLines val="1"/>
                <c15:leaderLines>
                  <c:spPr>
                    <a:ln w="9525">
                      <a:solidFill>
                        <a:srgbClr val="9CBDE6">
                          <a:lumMod val="35000"/>
                          <a:lumOff val="65000"/>
                        </a:srgbClr>
                      </a:solidFill>
                    </a:ln>
                    <a:effectLst/>
                  </c:spPr>
                </c15:leaderLines>
              </c:ext>
            </c:extLst>
          </c:dLbls>
          <c:cat>
            <c:strRef>
              <c:f>[2023预算调整.xlsx]Sheet3!$L$22:$L$23</c:f>
              <c:strCache>
                <c:ptCount val="2"/>
                <c:pt idx="0">
                  <c:v>基本支出</c:v>
                </c:pt>
                <c:pt idx="1">
                  <c:v>项目支出</c:v>
                </c:pt>
              </c:strCache>
            </c:strRef>
          </c:cat>
          <c:val>
            <c:numRef>
              <c:f>[2023预算调整.xlsx]Sheet3!$M$22:$M$23</c:f>
              <c:numCache>
                <c:formatCode>General</c:formatCode>
                <c:ptCount val="2"/>
                <c:pt idx="0">
                  <c:v>309.02</c:v>
                </c:pt>
                <c:pt idx="1">
                  <c:v>0</c:v>
                </c:pt>
              </c:numCache>
            </c:numRef>
          </c:val>
        </c:ser>
        <c:dLbls>
          <c:showPercent val="1"/>
        </c:dLbls>
        <c:firstSliceAng val="0"/>
      </c:pieChart>
      <c:spPr>
        <a:noFill/>
        <a:ln>
          <a:noFill/>
        </a:ln>
        <a:effectLst/>
      </c:spPr>
    </c:plotArea>
    <c:legend>
      <c:legendPos val="b"/>
      <c:layout/>
      <c:spPr>
        <a:noFill/>
        <a:ln>
          <a:noFill/>
        </a:ln>
        <a:effectLst/>
      </c:spPr>
      <c:txPr>
        <a:bodyPr rot="0" spcFirstLastPara="0" vertOverflow="ellipsis" vert="horz" wrap="square" anchor="ctr" anchorCtr="1"/>
        <a:lstStyle/>
        <a:p>
          <a:pPr>
            <a:defRPr lang="zh-CN" sz="900" b="0" i="0" u="none" strike="noStrike" kern="1200" baseline="0">
              <a:solidFill>
                <a:srgbClr val="1F497D"/>
              </a:solidFill>
              <a:latin typeface="+mn-lt"/>
              <a:ea typeface="+mn-ea"/>
              <a:cs typeface="+mn-cs"/>
            </a:defRPr>
          </a:pPr>
          <a:endParaRPr lang="zh-CN"/>
        </a:p>
      </c:txPr>
    </c:legend>
    <c:plotVisOnly val="1"/>
    <c:dispBlanksAs val="zero"/>
  </c:chart>
  <c:spPr>
    <a:solidFill>
      <a:srgbClr val="FFFFFF"/>
    </a:solidFill>
    <a:ln w="9525" cap="flat" cmpd="sng" algn="ctr">
      <a:solidFill>
        <a:srgbClr val="D4E3F4">
          <a:lumMod val="15000"/>
          <a:lumOff val="85000"/>
        </a:srgbClr>
      </a:solidFill>
      <a:round/>
    </a:ln>
    <a:effectLst/>
  </c:spPr>
  <c:txPr>
    <a:bodyPr/>
    <a:lstStyle/>
    <a:p>
      <a:pPr>
        <a:defRPr lang="zh-CN"/>
      </a:pPr>
      <a:endParaRPr lang="zh-CN"/>
    </a:p>
  </c:txPr>
  <c:externalData r:id="rId1"/>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rgbClr val="1F497D"/>
    </cs:fontRef>
    <cs:defRPr sz="900" b="1" kern="1200"/>
  </cs:axisTitle>
  <cs:categoryAxis>
    <cs:lnRef idx="0"/>
    <cs:fillRef idx="0"/>
    <cs:effectRef idx="0"/>
    <cs:fontRef idx="minor">
      <a:srgbClr val="1F497D"/>
    </cs:fontRef>
    <cs:spPr>
      <a:ln w="9525" cap="flat" cmpd="sng" algn="ctr">
        <a:solidFill>
          <a:srgbClr val="D4E3F4">
            <a:lumMod val="15000"/>
            <a:lumOff val="85000"/>
          </a:srgbClr>
        </a:solidFill>
        <a:round/>
      </a:ln>
    </cs:spPr>
    <cs:defRPr sz="900" kern="1200"/>
  </cs:categoryAxis>
  <cs:chartArea mods="allowNoFillOverride allowNoLineOverride">
    <cs:lnRef idx="0"/>
    <cs:fillRef idx="0"/>
    <cs:effectRef idx="0"/>
    <cs:fontRef idx="minor">
      <a:srgbClr val="1F497D"/>
    </cs:fontRef>
    <cs:spPr>
      <a:solidFill>
        <a:srgbClr val="FFFFFF"/>
      </a:solidFill>
      <a:ln w="9525" cap="flat" cmpd="sng" algn="ctr">
        <a:solidFill>
          <a:srgbClr val="D4E3F4">
            <a:lumMod val="15000"/>
            <a:lumOff val="85000"/>
          </a:srgbClr>
        </a:solidFill>
        <a:round/>
      </a:ln>
    </cs:spPr>
    <cs:defRPr sz="900" kern="1200"/>
  </cs:chartArea>
  <cs:dataLabel>
    <cs:lnRef idx="0"/>
    <cs:fillRef idx="0"/>
    <cs:effectRef idx="0"/>
    <cs:fontRef idx="minor">
      <a:srgbClr val="1F497D"/>
    </cs:fontRef>
    <cs:defRPr sz="900" kern="1200"/>
  </cs:dataLabel>
  <cs:dataLabelCallout>
    <cs:lnRef idx="0"/>
    <cs:fillRef idx="0"/>
    <cs:effectRef idx="0"/>
    <cs:fontRef idx="minor">
      <a:srgbClr val="17375E">
        <a:lumMod val="7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rgbClr val="1F497D"/>
    </cs:fontRef>
  </cs:dataPoint>
  <cs:dataPoint3D>
    <cs:lnRef idx="0"/>
    <cs:fillRef idx="3">
      <cs:styleClr val="auto"/>
    </cs:fillRef>
    <cs:effectRef idx="2"/>
    <cs:fontRef idx="minor">
      <a:srgbClr val="1F497D"/>
    </cs:fontRef>
  </cs:dataPoint3D>
  <cs:dataPointLine>
    <cs:lnRef idx="0">
      <cs:styleClr val="auto"/>
    </cs:lnRef>
    <cs:fillRef idx="3"/>
    <cs:effectRef idx="2"/>
    <cs:fontRef idx="minor">
      <a:srgbClr val="1F497D"/>
    </cs:fontRef>
    <cs:spPr>
      <a:ln w="31750" cap="rnd">
        <a:solidFill>
          <a:srgbClr val="FFFFFF"/>
        </a:solidFill>
        <a:round/>
      </a:ln>
    </cs:spPr>
  </cs:dataPointLine>
  <cs:dataPointMarker>
    <cs:lnRef idx="0"/>
    <cs:fillRef idx="3">
      <cs:styleClr val="auto"/>
    </cs:fillRef>
    <cs:effectRef idx="2"/>
    <cs:fontRef idx="minor">
      <a:srgbClr val="1F497D"/>
    </cs:fontRef>
    <cs:spPr>
      <a:ln w="12700">
        <a:solidFill>
          <a:srgbClr val="EEECE1"/>
        </a:solidFill>
        <a:round/>
      </a:ln>
    </cs:spPr>
  </cs:dataPointMarker>
  <cs:dataPointMarkerLayout symbol="circle" size="6"/>
  <cs:dataPointWireframe>
    <cs:lnRef idx="0">
      <cs:styleClr val="auto"/>
    </cs:lnRef>
    <cs:fillRef idx="3"/>
    <cs:effectRef idx="2"/>
    <cs:fontRef idx="minor">
      <a:srgbClr val="1F497D"/>
    </cs:fontRef>
    <cs:spPr>
      <a:ln w="9525" cap="rnd">
        <a:solidFill>
          <a:srgbClr val="FFFFFF"/>
        </a:solidFill>
        <a:round/>
      </a:ln>
    </cs:spPr>
  </cs:dataPointWireframe>
  <cs:dataTable>
    <cs:lnRef idx="0"/>
    <cs:fillRef idx="0"/>
    <cs:effectRef idx="0"/>
    <cs:fontRef idx="minor">
      <a:srgbClr val="1F497D"/>
    </cs:fontRef>
    <cs:spPr>
      <a:ln w="9525">
        <a:solidFill>
          <a:srgbClr val="D4E3F4">
            <a:lumMod val="15000"/>
            <a:lumOff val="85000"/>
          </a:srgbClr>
        </a:solidFill>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1F497D"/>
    </cs:fontRef>
    <cs:spPr>
      <a:ln w="9525">
        <a:solidFill>
          <a:srgbClr val="558ED5">
            <a:lumMod val="60000"/>
            <a:lumOff val="40000"/>
          </a:srgbClr>
        </a:solidFill>
        <a:prstDash val="dash"/>
      </a:ln>
    </cs:spPr>
  </cs:dropLine>
  <cs:errorBar>
    <cs:lnRef idx="0"/>
    <cs:fillRef idx="0"/>
    <cs:effectRef idx="0"/>
    <cs:fontRef idx="minor">
      <a:srgbClr val="1F497D"/>
    </cs:fontRef>
    <cs:spPr>
      <a:ln w="9525">
        <a:solidFill>
          <a:srgbClr val="17375E">
            <a:lumMod val="75000"/>
          </a:srgbClr>
        </a:solidFill>
        <a:round/>
      </a:ln>
    </cs:spPr>
  </cs:errorBar>
  <cs:floor>
    <cs:lnRef idx="0"/>
    <cs:fillRef idx="0"/>
    <cs:effectRef idx="0"/>
    <cs:fontRef idx="minor">
      <a:srgbClr val="1F497D"/>
    </cs:fontRef>
  </cs:floor>
  <cs:gridlineMajor>
    <cs:lnRef idx="0"/>
    <cs:fillRef idx="0"/>
    <cs:effectRef idx="0"/>
    <cs:fontRef idx="minor">
      <a:srgbClr val="1F497D"/>
    </cs:fontRef>
    <cs:spPr>
      <a:ln w="9525" cap="flat" cmpd="sng" algn="ctr">
        <a:solidFill>
          <a:srgbClr val="D4E3F4">
            <a:lumMod val="15000"/>
            <a:lumOff val="85000"/>
          </a:srgbClr>
        </a:solidFill>
        <a:round/>
      </a:ln>
    </cs:spPr>
  </cs:gridlineMajor>
  <cs:gridlineMinor>
    <cs:lnRef idx="0"/>
    <cs:fillRef idx="0"/>
    <cs:effectRef idx="0"/>
    <cs:fontRef idx="minor">
      <a:srgbClr val="1F497D"/>
    </cs:fontRef>
    <cs:spPr>
      <a:ln>
        <a:solidFill>
          <a:srgbClr val="F1F6FB">
            <a:lumMod val="5000"/>
            <a:lumOff val="95000"/>
          </a:srgbClr>
        </a:solidFill>
      </a:ln>
    </cs:spPr>
  </cs:gridlineMinor>
  <cs:hiLoLine>
    <cs:lnRef idx="0"/>
    <cs:fillRef idx="0"/>
    <cs:effectRef idx="0"/>
    <cs:fontRef idx="minor">
      <a:srgbClr val="1F497D"/>
    </cs:fontRef>
    <cs:spPr>
      <a:ln w="9525">
        <a:solidFill>
          <a:srgbClr val="558ED5">
            <a:lumMod val="60000"/>
            <a:lumOff val="40000"/>
          </a:srgbClr>
        </a:solidFill>
        <a:prstDash val="dash"/>
      </a:ln>
    </cs:spPr>
  </cs:hiLoLine>
  <cs:leaderLine>
    <cs:lnRef idx="0"/>
    <cs:fillRef idx="0"/>
    <cs:effectRef idx="0"/>
    <cs:fontRef idx="minor">
      <a:srgbClr val="1F497D"/>
    </cs:fontRef>
    <cs:spPr>
      <a:ln w="9525">
        <a:solidFill>
          <a:srgbClr val="9CBDE6">
            <a:lumMod val="35000"/>
            <a:lumOff val="65000"/>
          </a:srgbClr>
        </a:solidFill>
      </a:ln>
    </cs:spPr>
  </cs:leaderLine>
  <cs:legend>
    <cs:lnRef idx="0"/>
    <cs:fillRef idx="0"/>
    <cs:effectRef idx="0"/>
    <cs:fontRef idx="minor">
      <a:srgbClr val="1F497D"/>
    </cs:fontRef>
    <cs:defRPr sz="900" kern="1200"/>
  </cs:legend>
  <cs:plotArea>
    <cs:lnRef idx="0"/>
    <cs:fillRef idx="0"/>
    <cs:effectRef idx="0"/>
    <cs:fontRef idx="minor">
      <a:srgbClr val="1F497D"/>
    </cs:fontRef>
  </cs:plotArea>
  <cs:plotArea3D>
    <cs:lnRef idx="0"/>
    <cs:fillRef idx="0"/>
    <cs:effectRef idx="0"/>
    <cs:fontRef idx="minor">
      <a:srgbClr val="1F497D"/>
    </cs:fontRef>
  </cs:plotArea3D>
  <cs:seriesAxis>
    <cs:lnRef idx="0"/>
    <cs:fillRef idx="0"/>
    <cs:effectRef idx="0"/>
    <cs:fontRef idx="minor">
      <a:srgbClr val="1F497D"/>
    </cs:fontRef>
    <cs:spPr>
      <a:ln w="9525" cap="flat" cmpd="sng" algn="ctr">
        <a:solidFill>
          <a:srgbClr val="D4E3F4">
            <a:lumMod val="15000"/>
            <a:lumOff val="85000"/>
          </a:srgbClr>
        </a:solidFill>
        <a:round/>
      </a:ln>
    </cs:spPr>
    <cs:defRPr sz="900" kern="1200"/>
  </cs:seriesAxis>
  <cs:seriesLine>
    <cs:lnRef idx="0"/>
    <cs:fillRef idx="0"/>
    <cs:effectRef idx="0"/>
    <cs:fontRef idx="minor">
      <a:srgbClr val="1F497D"/>
    </cs:fontRef>
    <cs:spPr>
      <a:ln w="9525">
        <a:solidFill>
          <a:srgbClr val="558ED5">
            <a:lumMod val="60000"/>
            <a:lumOff val="40000"/>
          </a:srgbClr>
        </a:solidFill>
        <a:prstDash val="dash"/>
      </a:ln>
    </cs:spPr>
  </cs:seriesLine>
  <cs:title>
    <cs:lnRef idx="0"/>
    <cs:fillRef idx="0"/>
    <cs:effectRef idx="0"/>
    <cs:fontRef idx="minor">
      <a:srgbClr val="1F497D"/>
    </cs:fontRef>
    <cs:defRPr sz="1600" b="1" kern="1200"/>
  </cs:title>
  <cs:trendline>
    <cs:lnRef idx="0">
      <cs:styleClr val="auto"/>
    </cs:lnRef>
    <cs:fillRef idx="0"/>
    <cs:effectRef idx="0"/>
    <cs:fontRef idx="minor">
      <a:srgbClr val="1F497D"/>
    </cs:fontRef>
    <cs:spPr>
      <a:ln w="19050" cap="rnd">
        <a:solidFill>
          <a:srgbClr val="FFFFFF"/>
        </a:solidFill>
        <a:prstDash val="sysDash"/>
      </a:ln>
    </cs:spPr>
  </cs:trendline>
  <cs:trendlineLabel>
    <cs:lnRef idx="0"/>
    <cs:fillRef idx="0"/>
    <cs:effectRef idx="0"/>
    <cs:fontRef idx="minor">
      <a:srgbClr val="1F497D"/>
    </cs:fontRef>
    <cs:defRPr sz="900" kern="1200"/>
  </cs:trendlineLabel>
  <cs:upBar>
    <cs:lnRef idx="0"/>
    <cs:fillRef idx="0"/>
    <cs:effectRef idx="0"/>
    <cs:fontRef idx="minor">
      <a:srgbClr val="1F497D"/>
    </cs:fontRef>
    <cs:spPr>
      <a:solidFill>
        <a:srgbClr val="FFFFFF"/>
      </a:solidFill>
      <a:ln w="9525">
        <a:solidFill>
          <a:srgbClr val="D9D9D9">
            <a:lumMod val="15000"/>
            <a:lumOff val="85000"/>
          </a:srgbClr>
        </a:solidFill>
      </a:ln>
    </cs:spPr>
  </cs:upBar>
  <cs:valueAxis>
    <cs:lnRef idx="0"/>
    <cs:fillRef idx="0"/>
    <cs:effectRef idx="0"/>
    <cs:fontRef idx="minor">
      <a:srgbClr val="1F497D"/>
    </cs:fontRef>
    <cs:defRPr sz="900" kern="1200"/>
  </cs:valueAxis>
  <cs:wall>
    <cs:lnRef idx="0"/>
    <cs:fillRef idx="0"/>
    <cs:effectRef idx="0"/>
    <cs:fontRef idx="minor">
      <a:srgbClr val="1F497D"/>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74E88-956C-43F0-82DF-4E2D5A01C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1953</Words>
  <Characters>381</Characters>
  <Application>Microsoft Office Word</Application>
  <DocSecurity>0</DocSecurity>
  <Lines>3</Lines>
  <Paragraphs>4</Paragraphs>
  <ScaleCrop>false</ScaleCrop>
  <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hh</cp:lastModifiedBy>
  <cp:revision>6</cp:revision>
  <dcterms:created xsi:type="dcterms:W3CDTF">2023-02-15T03:09:00Z</dcterms:created>
  <dcterms:modified xsi:type="dcterms:W3CDTF">2023-03-07T10:10:00Z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y fmtid="{D5CDD505-2E9C-101B-9397-08002B2CF9AE}" pid="3" name="ICV">
    <vt:lpwstr>1D2058C767FA4562B04663FE9814BDA3</vt:lpwstr>
  </property>
</Properties>
</file>