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27"/>
        <w:gridCol w:w="1140"/>
        <w:gridCol w:w="705"/>
        <w:gridCol w:w="1290"/>
        <w:gridCol w:w="455"/>
        <w:gridCol w:w="715"/>
        <w:gridCol w:w="982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82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公务用车购置项目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/>
              </w:rPr>
              <w:t>北京时尚控股有限责任公司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卜宏霞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69249981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030611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030611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030611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030611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030611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030611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按照《批复》文件附件，我单位共允许保留14辆公务用车，学院按照相关规定对国一国二排放不达标车辆进行逐步更新。2022年申请将中型普通客车江铃全顺JX6546C-M（14座）车辆更新为新全顺JX6534P-M6（新全顺中轴中顶国六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  <w:t>手动挡12座客车带真皮）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车辆一台。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5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报废车辆：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中型普通客车江铃全顺JX6546C-M（14座）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购置车辆：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新全顺JX6534P-M6（新全顺中轴中顶国六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  <w:t>手动挡12座客车带真皮）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指标1：更新购置新全顺JX6534P-M6（新全顺中轴中顶国六手动挡12座客车带真皮）车辆一台，及购置税、车船税、商业保险、交强险。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指标1：2022年12月底前一次性支付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030611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万元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优良中低差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指标1：项目共需资金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030611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万元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030611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万元</w:t>
            </w:r>
            <w:bookmarkStart w:id="0" w:name="_GoBack"/>
            <w:bookmarkEnd w:id="0"/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27.030611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5CB415B"/>
    <w:rsid w:val="1CFA7252"/>
    <w:rsid w:val="23F26BE3"/>
    <w:rsid w:val="2A6834EE"/>
    <w:rsid w:val="37173543"/>
    <w:rsid w:val="3FF76880"/>
    <w:rsid w:val="52A7318A"/>
    <w:rsid w:val="6A881BBF"/>
    <w:rsid w:val="6D0469D8"/>
    <w:rsid w:val="6E6D67C3"/>
    <w:rsid w:val="71E947C9"/>
    <w:rsid w:val="72250736"/>
    <w:rsid w:val="724345A2"/>
    <w:rsid w:val="724348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2023-05-19T00:27:09Z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