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6"/>
        <w:gridCol w:w="1394"/>
        <w:gridCol w:w="331"/>
        <w:gridCol w:w="960"/>
        <w:gridCol w:w="936"/>
        <w:gridCol w:w="564"/>
        <w:gridCol w:w="1316"/>
        <w:gridCol w:w="6"/>
        <w:gridCol w:w="557"/>
        <w:gridCol w:w="147"/>
        <w:gridCol w:w="416"/>
        <w:gridCol w:w="430"/>
        <w:gridCol w:w="9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机场设备运维专业群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6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6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李晋</w:t>
            </w: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13426258119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2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1243.610000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1239.363300</w:t>
            </w: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734.401863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59.26%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604.640000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943.240000</w:t>
            </w: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438.278563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46.47%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638.970000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296.123300</w:t>
            </w: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296.123300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3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1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3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形成校企双制、工学结合贯通式专业群人才培养模式。            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完善教材教法改革，建成完善的学业评价体系，课堂教学质量显著提升。                                                          3.形成“能力递进式”课程体系，完成信息化教学资源库建设目标。                                             4.完成“425”教师能力提升计划，形成“双带头人、双导师”教师团队。                                        5.完成“共建共享型”机场设备运维实训基地，支撑实践教学能力显著提升。                                                        6.形成“1125”技术技能创新服务平台，服务企业能力显著提升。                                              7.面向机场临空区，服务大兴国际机场能力显著提升。 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多方协同，形成对接国际标准的人才培养模式。          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9.形成“PDCA闭环”动态优化机制，人才培养质量进一步提升。</w:t>
            </w:r>
          </w:p>
        </w:tc>
        <w:tc>
          <w:tcPr>
            <w:tcW w:w="441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1. 人才培养模式创新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：形成完善的“立体化”思政课程实施方案；优化“校企双制、工学结合贯通式”人才培养方案、企业新型学徒制人才培养方案、“企业主体、项目引领”“知识技能型技师”等级考核修订方案；完成 “物联网应用技术数据运维方向”新专业人才培养修订方案；全日制在校生达到517人；完成机场运维人力资源岗位标准修订5个，培训课程标准修订5个；校企联合培养规模达到100人以上；形成学生综合素质评价案例。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2.课程教学资源建设：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修订专业群课程体系方案，形成重构的课程体系；修订专业平台课的课程标准5门，修改专业进阶课课程标准数量10门，开发课证融通课程标准修订3门，开发企业项目课程3门；完成慕课2门、SPOC2门、50个微课的制作任务，提升信息化资源使用率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。3.教材教法改革：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形成“三有课堂”建设案例；完成新型活页式、工作手册式教材4本；开展学生学业评价改革，形成“三位一体”学生学业评价案例。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4.教师教学创新团队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：优化教师团队结构，引进、培养双带头人2人、企业导师5人，选拔青年骨干教师2名；实施“425”教师能力提升计划，形成“双带头人、双导师”教师教学团队建设案例；形成教师团队教科研项目成果；推进校企横向课题研究，形成横向课题中期成果。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5.实践教学基地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：优化形成机场设备运维实践基地建设，完成机场信息运维实训中心、机场新能源特种设备检测中心；建设数据运维校外实训基地；发挥实训基地社会功能，开展技术服务，组织合作企业职工培训及竞赛，社会技能培训规模达到440人年以上。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6.技术技能平台：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深化校企合作，与合作企业完成项目研发及技术服务4项；完成首维机场设备运维工程师学院建设案例；形成机场行李运维技能大师工作室、机场信息运维技能大师工作室、机场新能源特种设备检测技能大师工作室建设案例3个；形成较完善的技术技能平台的制度体系。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社会服务：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合作企业技术服务，为北京市职工竞赛提供技术服务1次；完成电气设备控制类实用新型专利，完成机电项目设备改造项目1个；继续开展社会技能培训和鉴定，完成培训规模4080人天以上，职业技能等级考试400人以上；落实国家职业技能提升行动、京津冀协同发展战略，完成技能培训规模达到2300人天以上。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8.国际交流与合作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：开展世赛交流，形成世界技能大赛（空调与制冷项目）评价标准成果转化；借鉴国际开发标准，开发职业培训课程标准3门、培训课程资源包1个。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</w:rPr>
              <w:t>9.可持续发展保障机制：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完善专业群组织机构，优化的保障机制；完善PDCA闭环专业群调整机制；形成专业群年度人才培养质量评价报告。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新增设备数量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行李项目设备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受招投标投诉影响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未采购，导致行李设备实训室建设缓慢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，下一步将尽快完成采购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实训学时数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新增实训工位数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新增（修订）培训方案（份）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新增（修订）课程标准（个）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新增实训场地面积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108㎡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技术服务项目验收通过率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技术培训合格率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用人单位对毕业生的满意度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各项教学培训计划完成时间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和社会成本的比较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604.6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438.28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学生就业对口率增长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社会服务的满意度增长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学生对教学工作满意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学生对学生工作的满意度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831819"/>
    <w:multiLevelType w:val="singleLevel"/>
    <w:tmpl w:val="9A8318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A3FF107"/>
    <w:multiLevelType w:val="singleLevel"/>
    <w:tmpl w:val="7A3FF107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wY2NiNmMyM2JlYThhY2FlZjliMmQzZDk3M2EwNjQifQ=="/>
  </w:docVars>
  <w:rsids>
    <w:rsidRoot w:val="F77F09F4"/>
    <w:rsid w:val="09743699"/>
    <w:rsid w:val="0D0231A0"/>
    <w:rsid w:val="184702FF"/>
    <w:rsid w:val="1F1840BF"/>
    <w:rsid w:val="210C7C53"/>
    <w:rsid w:val="2BA80CFD"/>
    <w:rsid w:val="2FC93A77"/>
    <w:rsid w:val="345410A8"/>
    <w:rsid w:val="37173543"/>
    <w:rsid w:val="3FF76880"/>
    <w:rsid w:val="40E65E01"/>
    <w:rsid w:val="443F172A"/>
    <w:rsid w:val="4635217D"/>
    <w:rsid w:val="5A897CF1"/>
    <w:rsid w:val="63AD38BC"/>
    <w:rsid w:val="6E6D67C3"/>
    <w:rsid w:val="71E947C9"/>
    <w:rsid w:val="7211645E"/>
    <w:rsid w:val="72434811"/>
    <w:rsid w:val="786A09BB"/>
    <w:rsid w:val="7AB7FF50"/>
    <w:rsid w:val="7B9D65DB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6814BA27A2E74DDD829E0EE3AAF511B1_13</vt:lpwstr>
  </property>
</Properties>
</file>